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BBFVerfV — Maßgaben zur Ausgestaltung des Zeugnisses bei Feststellung der vollständigen Vergleichbarkeit und des Bescheides bei Feststellung der überwiegenden oder teilweisen Vergleichbarkeit</w:t>
      </w:r>
    </w:p>
    <w:p>
      <w:r>
        <w:rPr>
          <w:color w:val="555555"/>
          <w:sz w:val="18"/>
        </w:rPr>
        <w:t xml:space="preserve">Berufsbildungsfeststellungsverfahrensverordnung</w:t>
      </w:r>
    </w:p>
    <w:p>
      <w:r>
        <w:rPr>
          <w:color w:val="555555"/>
          <w:sz w:val="18"/>
        </w:rPr>
        <w:t xml:space="preserve">Stand: 10.11.2024 (konsolidierte Textfassung, kein amtliches Inkrafttretensdatum)</w:t>
      </w:r>
    </w:p>
    <w:p>
      <w:r>
        <w:t xml:space="preserve">(1) Das Zeugnis nach § 50c Absatz 3 Satz 2 des Berufsbildungsgesetzes oder nach § 41c Absatz 3 Satz 2 der Handwerksordnung wird nach Maßgabe der Anlage 1 ausgestaltet.</w:t>
      </w:r>
    </w:p>
    <w:p>
      <w:r>
        <w:t xml:space="preserve">(2) Der Bescheid nach § 50c Absatz 3 Satz 1 des Berufsbildungsgesetzes oder nach § 41c Absatz 3 Satz 1 der Handwerksordnung wird nach Maßgabe der Anlage 2 ausgestaltet.</w:t>
      </w:r>
    </w:p>
    <w:p>
      <w:r>
        <w:t xml:space="preserve">(3) In den Fällen des § 50d des Berufsbildungsgesetzes oder des § 41d der Handwerksordnung wird der Bescheid nach Maßgabe der Anlage 3 ausgestaltet.</w:t>
      </w:r>
    </w:p>
    <w:p>
      <w:r>
        <w:rPr>
          <w:color w:val="555555"/>
          <w:sz w:val="17"/>
        </w:rPr>
        <w:t xml:space="preserve">Zitiervorschlag: § 7 BBFVerfV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https://recht.nulegal.eu/gesetze/BBFVerfV/7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