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BBFVerfV — Auswahl der Feststellungsinstrumente</w:t>
      </w:r>
    </w:p>
    <w:p>
      <w:r>
        <w:rPr>
          <w:color w:val="555555"/>
          <w:sz w:val="18"/>
        </w:rPr>
        <w:t xml:space="preserve">Berufsbildungsfeststellungsverfahrensverordnung</w:t>
      </w:r>
    </w:p>
    <w:p>
      <w:r>
        <w:rPr>
          <w:color w:val="555555"/>
          <w:sz w:val="18"/>
        </w:rPr>
        <w:t xml:space="preserve">Stand: 10.11.2024 (konsolidierte Textfassung, kein amtliches Inkrafttretensdatum)</w:t>
      </w:r>
    </w:p>
    <w:p>
      <w:r>
        <w:t xml:space="preserve">Die Feststellerin oder der Feststeller wählt die Feststellungsinstrumente für ein konkretes Feststellungsverfahren aus, indem sie oder er aus den nach § 2 Absatz 1 bundeseinheitlich festgelegten und veröffentlichten Feststellungsinstrumenten</w:t>
      </w:r>
    </w:p>
    <w:p>
      <w:pPr>
        <w:ind w:left="420"/>
      </w:pPr>
      <w:r>
        <w:t xml:space="preserve">1. bei mehreren möglichen Feststellungsinstrumenten die geeignetsten wählt,</w:t>
      </w:r>
    </w:p>
    <w:p>
      <w:pPr>
        <w:ind w:left="420"/>
      </w:pPr>
      <w:r>
        <w:t xml:space="preserve">2. wenn sich der Antrag auf die Feststellung der überwiegenden oder in den Fällen des § 50d des Berufsbildungsgesetzes oder des § 41d der Handwerksordnung auf die Feststellung der teilweisen Vergleichbarkeit der individuellen beruflichen Handlungsfähigkeit richtet, die Feststellungsinstrumente an die im Antrag vorgetragene und somit festzustellende individuelle berufliche Handlungsfähigkeit anpasst, und</w:t>
      </w:r>
    </w:p>
    <w:p>
      <w:pPr>
        <w:ind w:left="420"/>
      </w:pPr>
      <w:r>
        <w:t xml:space="preserve">3. diese in konkrete Aufgabenstellungen umsetzt.</w:t>
      </w:r>
    </w:p>
    <w:p>
      <w:r>
        <w:t xml:space="preserve">In den Fällen des § 2 Absatz 7 ist Satz 1 mit folgenden Maßgaben anzuwenden,</w:t>
      </w:r>
    </w:p>
    <w:p>
      <w:pPr>
        <w:ind w:left="420"/>
      </w:pPr>
      <w:r>
        <w:t xml:space="preserve">1. dass die Nummer 1 ersatzlos entfällt,</w:t>
      </w:r>
    </w:p>
    <w:p>
      <w:pPr>
        <w:ind w:left="420"/>
      </w:pPr>
      <w:r>
        <w:t xml:space="preserve">2. die Nummer 2 mit der Festlegung zusammen fällt und</w:t>
      </w:r>
    </w:p>
    <w:p>
      <w:pPr>
        <w:ind w:left="420"/>
      </w:pPr>
      <w:r>
        <w:t xml:space="preserve">3. auf die Auswahl der Feststellungsinstrumente durch die Feststellerin oder den Feststeller § 2 Absatz 7 Satz 2 entsprechend anzuwenden ist.</w:t>
      </w:r>
    </w:p>
    <w:p>
      <w:r>
        <w:rPr>
          <w:color w:val="555555"/>
          <w:sz w:val="17"/>
        </w:rPr>
        <w:t xml:space="preserve">Zitiervorschlag: § 4 BBFVerfV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https://recht.nulegal.eu/gesetze/BBFVerfV/4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