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BBFVerfV — Inkrafttreten</w:t>
      </w:r>
    </w:p>
    <w:p>
      <w:r>
        <w:rPr>
          <w:color w:val="555555"/>
          <w:sz w:val="18"/>
        </w:rPr>
        <w:t xml:space="preserve">Berufsbildungsfeststellungsverfahrensverordnung</w:t>
      </w:r>
    </w:p>
    <w:p>
      <w:r>
        <w:rPr>
          <w:color w:val="555555"/>
          <w:sz w:val="18"/>
        </w:rPr>
        <w:t xml:space="preserve">Stand: 10.11.2024 (konsolidierte Textfassung, kein amtliches Inkrafttretensdatum)</w:t>
      </w:r>
    </w:p>
    <w:p>
      <w:r>
        <w:t xml:space="preserve">Diese Verordnung tritt am 8. November 2024 in Kraft.</w:t>
      </w:r>
    </w:p>
    <w:p>
      <w:r>
        <w:rPr>
          <w:color w:val="555555"/>
          <w:sz w:val="17"/>
        </w:rPr>
        <w:t xml:space="preserve">Zitiervorschlag: § 10 BBFVerfV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https://recht.nulegal.eu/gesetze/BBFVerfV/10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