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BBFVerfV — Gegenstand</w:t>
      </w:r>
    </w:p>
    <w:p>
      <w:r>
        <w:rPr>
          <w:color w:val="555555"/>
          <w:sz w:val="18"/>
        </w:rPr>
        <w:t xml:space="preserve">Berufsbildungsfeststellungsverfahrensverordnung</w:t>
      </w:r>
    </w:p>
    <w:p>
      <w:r>
        <w:rPr>
          <w:color w:val="555555"/>
          <w:sz w:val="18"/>
        </w:rPr>
        <w:t xml:space="preserve">Stand: 10.11.2024 (konsolidierte Textfassung, kein amtliches Inkrafttretensdatum)</w:t>
      </w:r>
    </w:p>
    <w:p>
      <w:r>
        <w:t xml:space="preserve">Diese Verordnung regelt zur Feststellung und Bescheinigung der individuellen beruflichen Handlungsfähigkeit am Maßstab eines anerkannten Ausbildungsberufs nach § 1 Absatz 6 des Berufsbildungsgesetzes:</w:t>
      </w:r>
    </w:p>
    <w:p>
      <w:pPr>
        <w:ind w:left="420"/>
      </w:pPr>
      <w:r>
        <w:t xml:space="preserve">1. die Festlegung und Auswahl der Feststellungsinstrumente,</w:t>
      </w:r>
    </w:p>
    <w:p>
      <w:pPr>
        <w:ind w:left="420"/>
      </w:pPr>
      <w:r>
        <w:t xml:space="preserve">2. das Verfahren zur Würdigung der Leistungen,</w:t>
      </w:r>
    </w:p>
    <w:p>
      <w:pPr>
        <w:ind w:left="420"/>
      </w:pPr>
      <w:r>
        <w:t xml:space="preserve">3. das Verfahren zur Dokumentation der Leistungen,</w:t>
      </w:r>
    </w:p>
    <w:p>
      <w:pPr>
        <w:ind w:left="420"/>
      </w:pPr>
      <w:r>
        <w:t xml:space="preserve">4. die Maßgaben zur Ausgestaltung des Bescheides bei Feststellung der überwiegenden Vergleichbarkeit und der teilweisen Vergleichbarkeit sowie des Zeugnisses bei Feststellung der vollständigen Vergleichbarkeit der individuellen beruflichen Handlungsfähigkeit,</w:t>
      </w:r>
    </w:p>
    <w:p>
      <w:pPr>
        <w:ind w:left="420"/>
      </w:pPr>
      <w:r>
        <w:t xml:space="preserve">5. die Möglichkeit einer Antragstellung für das Ergänzungsverfahren sowie einer erneuten Antragstellung zum Zweck der Wiederholung des Feststellungsverfahrens.</w:t>
      </w:r>
    </w:p>
    <w:p>
      <w:r>
        <w:rPr>
          <w:color w:val="555555"/>
          <w:sz w:val="17"/>
        </w:rPr>
        <w:t xml:space="preserve">Zitiervorschlag: § 1 BBFVerfV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https://recht.nulegal.eu/gesetze/BBFVerfV/1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