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BAusfAmtG — Errichtung</w:t>
      </w:r>
    </w:p>
    <w:p>
      <w:r>
        <w:rPr>
          <w:color w:val="555555"/>
          <w:sz w:val="18"/>
        </w:rPr>
        <w:t xml:space="preserve">Gesetz über die Errichtung eines Bundesausfuhramtes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Geschäftsbereich des Bundesministeriums für Wirtschaft und Energie wird ein Bundesamt für Wirtschaft und Ausfuhrkontrolle (BAFA) als selbständige Bundesoberbehörde errichtet.</w:t>
      </w:r>
    </w:p>
    <w:p>
      <w:r>
        <w:t xml:space="preserve">(2) Der Präsident des Bundesamtes für Wirtschaft und Ausfuhrkontrolle (BAFA) wird vom Bundespräsidenten auf Vorschlag des Bundesministeriums für Wirtschaft und Energie ernannt.</w:t>
      </w:r>
    </w:p>
    <w:p>
      <w:r>
        <w:rPr>
          <w:color w:val="555555"/>
          <w:sz w:val="17"/>
        </w:rPr>
        <w:t xml:space="preserve">Zitiervorschlag: § 1 BAusfAmtG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https://recht.nulegal.eu/gesetze/BAusfAmtG/1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