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III. BAuAZustAnO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Beschäftigten der Bundesanstalt für Arbeitsschutz und Arbeitsmedizin in Reisekosten-, Umzugskosten- und Trennungsgeldangelegenheiten sowie in Angelegenheiten nach der Bundesbeihilfeverordnung</w:t>
      </w:r>
    </w:p>
    <w:p>
      <w:r>
        <w:rPr>
          <w:color w:val="555555"/>
          <w:sz w:val="18"/>
        </w:rPr>
        <w:t xml:space="preserve">Historische Fassung: Stand 10.06.2019 bis 12.07.2022. Dies ist nicht die aktuelle Fassung.</w:t>
      </w:r>
    </w:p>
    <w:p>
      <w:r>
        <w:t xml:space="preserve">Diese Anordnung wird am 1. Dezember 2010 wirksam. Die Abschnitte I und II sind auch anzuwenden auf bereits laufende Verfahren der Beschäftigten der Bundesanstalt für Arbeitsschutz und Arbeitsmedizin.</w:t>
      </w:r>
    </w:p>
    <w:p>
      <w:r>
        <w:rPr>
          <w:color w:val="555555"/>
          <w:sz w:val="17"/>
        </w:rPr>
        <w:t xml:space="preserve">Zitiervorschlag: III. BAuAZustAnO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https://recht.nulegal.eu/gesetze/BAuAZustAnO/iii.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III. BAuAZustAnO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