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BArchKostV — Sachliche Gebührenfreiheit, Gebührenbefreiung</w:t>
      </w:r>
    </w:p>
    <w:p>
      <w:r>
        <w:rPr>
          <w:color w:val="555555"/>
          <w:sz w:val="18"/>
        </w:rPr>
        <w:t xml:space="preserve">Bundesarchiv-Kostenverordnung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(1) Gebühren werden nicht erhoben für mündliche und einfache schriftliche Auskünfte.</w:t>
      </w:r>
    </w:p>
    <w:p>
      <w:r>
        <w:t xml:space="preserve">(2) Gebührenbefreiung besteht ferner für Benutzungen zu wissenschaftlichen Zwecken nach dem Gebühren- und Auslagenverzeichnis</w:t>
      </w:r>
    </w:p>
    <w:p>
      <w:pPr>
        <w:ind w:left="420"/>
      </w:pPr>
      <w:r>
        <w:t xml:space="preserve">1. den Nummern 1.1 und 1.2,</w:t>
      </w:r>
    </w:p>
    <w:p>
      <w:pPr>
        <w:ind w:left="420"/>
      </w:pPr>
      <w:r>
        <w:t xml:space="preserve">2. der Nummer 3.1, wenn nicht mehr als eine Stunde Arbeitszeit aufgewendet werden muß.</w:t>
      </w:r>
    </w:p>
    <w:p>
      <w:r>
        <w:t xml:space="preserve">(3) Auf die Gebühr nach Nummer 4.11 des Gebühren- und Auslagenverzeichnisses kann das Bundesarchiv bei einer Auflage bis zu 500 Exemplaren verzichten.</w:t>
      </w:r>
    </w:p>
    <w:p>
      <w:r>
        <w:rPr>
          <w:color w:val="555555"/>
          <w:sz w:val="17"/>
        </w:rPr>
        <w:t xml:space="preserve">Zitiervorschlag: § 4 BArchKostV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https://recht.nulegal.eu/gesetze/BArchKostV/4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