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BArchG 2017 — Zwischenarchiv und digitales Zwischenarchiv</w:t>
      </w:r>
    </w:p>
    <w:p>
      <w:r>
        <w:rPr>
          <w:color w:val="555555"/>
          <w:sz w:val="18"/>
        </w:rPr>
        <w:t xml:space="preserve">Bundesarchivgesetz</w:t>
      </w:r>
    </w:p>
    <w:p>
      <w:r>
        <w:rPr>
          <w:color w:val="555555"/>
          <w:sz w:val="18"/>
        </w:rPr>
        <w:t xml:space="preserve">Stand: 23.10.2021 (konsolidierte Textfassung, kein amtliches Inkrafttretensdatum)</w:t>
      </w:r>
    </w:p>
    <w:p>
      <w:r>
        <w:t xml:space="preserve">(1) Das Bundesarchiv unterhält das Zwischenarchiv für die nicht elektronischen Unterlagen der obersten Bundesbehörden und der Verfassungsorgane. Das Bundesarchiv unterhält zudem das digitale Zwischenarchiv für die elektronischen Unterlagen aller Einrichtungen der Bundesverwaltung.</w:t>
      </w:r>
    </w:p>
    <w:p>
      <w:r>
        <w:t xml:space="preserve">(2) Das Bundesarchiv verwahrt das Zwischenarchivgut des Bundes im Auftrag der anbietenden öffentlichen Stelle des Bundes oder ihres Rechts- und Funktionsnachfolgers. Bis zur Übernahme als Archivgut des Bundes beschränkt sich die Verantwortung des Bundesarchivs auf die notwendigen technischen und organisatorischen Maßnahmen zur Verwahrung und Sicherung der Unterlagen. Die Bewertung des Zwischenarchivguts des Bundes nach Maßgabe von § 3 Absatz 2 Satz 2 durch das Bundesarchiv ist zulässig; § 5 Absatz 5 ist entsprechend anzuwenden.</w:t>
      </w:r>
    </w:p>
    <w:p>
      <w:r>
        <w:t xml:space="preserve">(3) Auf die Abgabe elektronischer Unterlagen an das digitale Zwischenarchiv sind die für die Bundesverwaltung verbindlich festgelegten Standards anzuwenden. Sofern für die Form der Übermittlung und für das Datenformat kein Standard für die Bundesverwaltung verbindlich festgelegt wurde, sind diese im Einvernehmen mit der abgebenden öffentlichen Stelle festzulegen.</w:t>
      </w:r>
    </w:p>
    <w:p>
      <w:r>
        <w:rPr>
          <w:color w:val="555555"/>
          <w:sz w:val="17"/>
        </w:rPr>
        <w:t xml:space="preserve">Zitiervorschlag: § 8 BArchG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https://recht.nulegal.eu/gesetze/BArchG%202017/8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