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BArchG 2017 — Anbietung und Abgabe von Unterlagen, die einer Geheimhaltungs-, Vernichtungs- oder Löschungspflicht unterliegen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Die öffentlichen Stellen des Bundes haben dem Bundesarchiv oder, im Fall des § 7, dem zuständigen Landes- oder Kommunalarchiv auch Unterlagen zur Übernahme anzubieten, die den Rechtsvorschriften des Bundes über die Geheimhaltung oder § 30 der Abgabenordnung in der Fassung der Bekanntmachung vom 1. Oktober 2002 (BGBl. I S. 3866; 2003 I S. 61), die zuletzt durch Artikel 1 des Gesetzes vom 21. Dezember 2019 (BGBl. I S. 2875) geändert worden ist, unterliegen. Unterlagen der Nachrichtendienste sind anzubieten, wenn sie deren Verfügungsberechtigung unterliegen und zwingende Gründe des nachrichtendienstlichen Quellen- und Methodenschutzes sowie der Schutz der Identität der bei ihnen beschäftigten Personen einer Abgabe nicht entgegenstehen.</w:t>
      </w:r>
    </w:p>
    <w:p>
      <w:r>
        <w:t xml:space="preserve">(2) Von der Anbietungspflicht ausgenommen sind</w:t>
      </w:r>
    </w:p>
    <w:p>
      <w:pPr>
        <w:ind w:left="420"/>
      </w:pPr>
      <w:r>
        <w:t xml:space="preserve">1. Unterlagen, deren Offenbarung gegen das Brief-, Post- oder Fernmeldegeheimnis verstößt, sowie</w:t>
      </w:r>
    </w:p>
    <w:p>
      <w:pPr>
        <w:ind w:left="420"/>
      </w:pPr>
      <w:r>
        <w:t xml:space="preserve">2. Unterlagen, die nach gesetzlichen Vorschriften vernichtet oder gelöscht werden müssen und die nach diesen gesetzlichen Vorschriften nicht ersatzweise den zuständigen öffentlichen Archiven angeboten werden dürfen.</w:t>
      </w:r>
    </w:p>
    <w:p>
      <w:r>
        <w:t xml:space="preserve">(3) Das Bundesarchiv hat vom Zeitpunkt der Übernahme an</w:t>
      </w:r>
    </w:p>
    <w:p>
      <w:pPr>
        <w:ind w:left="420"/>
      </w:pPr>
      <w:r>
        <w:t xml:space="preserve">1. die Geheimhaltungsvorschriften im Sinne des Absatzes 1 sowie der Verschlusssachenanweisung vom 10. August 2018 (GMBl S. 826) und der SÜG-Ausführungsvorschrift vom 15. Februar 2018 (GMBl S. 270) anzuwenden und</w:t>
      </w:r>
    </w:p>
    <w:p>
      <w:pPr>
        <w:ind w:left="420"/>
      </w:pPr>
      <w:r>
        <w:t xml:space="preserve">2. die schutzwürdigen Belange Betroffener in gleicher Weise zu beachten wie die abgebende Stelle.</w:t>
      </w:r>
    </w:p>
    <w:p>
      <w:r>
        <w:t xml:space="preserve">Amtsträger und für den öffentlichen Dienst besonders Verpflichtete in öffentlichen Archiven unterliegen allen für die Bediensteten der abgebenden Stellen geltenden Geheimhaltungsvorschriften.</w:t>
      </w:r>
    </w:p>
    <w:p>
      <w:r>
        <w:t xml:space="preserve">(4) Unterlagen, die den Rechtsvorschriften des Bundes über die Geheimhaltung oder dem Steuergeheimnis nach § 30 der Abgabenordnung unterliegen oder Angaben über Verhältnisse eines anderen oder fremde Betriebs- oder Geschäftsgeheimnisse enthalten, dürfen dem Bundesarchiv oder, im Fall des § 7, dem zuständigen Landes- oder Kommunalarchiv auch von anderen Stellen als den öffentlichen Stellen des Bundes zur Archivierung angeboten und abgegeben werden.</w:t>
      </w:r>
    </w:p>
    <w:p>
      <w:r>
        <w:rPr>
          <w:color w:val="555555"/>
          <w:sz w:val="17"/>
        </w:rPr>
        <w:t xml:space="preserve">Zitiervorschlag: § 6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