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BArchG 2017 — Stiftung „Archiv der Parteien und Massenorganisationen der DDR“</w:t>
      </w:r>
    </w:p>
    <w:p>
      <w:r>
        <w:rPr>
          <w:color w:val="555555"/>
          <w:sz w:val="18"/>
        </w:rPr>
        <w:t xml:space="preserve">Bundesarchivgesetz</w:t>
      </w:r>
    </w:p>
    <w:p>
      <w:r>
        <w:rPr>
          <w:color w:val="555555"/>
          <w:sz w:val="18"/>
        </w:rPr>
        <w:t xml:space="preserve">Stand: 23.10.2021 (konsolidierte Textfassung, kein amtliches Inkrafttretensdatum)</w:t>
      </w:r>
    </w:p>
    <w:p>
      <w:r>
        <w:t xml:space="preserve">(1) Die „Stiftung Archiv der Parteien und Massenorganisationen der DDR“ ist eine unselbständige Stiftung des öffentlichen Rechts im Bundesarchiv.</w:t>
      </w:r>
    </w:p>
    <w:p>
      <w:r>
        <w:t xml:space="preserve">(2) Die Stiftung hat die Aufgabe, Unterlagen von Stellen nach § 3 Absatz 2 Nummer 5 und 6 als Archivgut des Bundes zu übernehmen, auf Dauer zu sichern, nutzbar zu machen und zu ergänzen. Dies gilt auch für Bibliotheksbestände zur deutschen Geschichte, insbesondere für solche, die in historischem oder sachlichem Zusammenhang mit der deutschen und internationalen Arbeiterbewegung stehen. § 3 Absatz 1 Satz 2 ist entsprechend anzuwenden.</w:t>
      </w:r>
    </w:p>
    <w:p>
      <w:r>
        <w:t xml:space="preserve">(3) Die in § 11 Absatz 1 genannte Schutzfrist ist nicht auf die Bestände der Stiftung anzuwenden.</w:t>
      </w:r>
    </w:p>
    <w:p>
      <w:r>
        <w:t xml:space="preserve">(4) Einzelheiten zu Organisation, Aufgaben und Vermögen der Stiftung werden durch die für Kultur und Medien zuständige oberste Bundesbehörde geregelt.</w:t>
      </w:r>
    </w:p>
    <w:p>
      <w:r>
        <w:rPr>
          <w:color w:val="555555"/>
          <w:sz w:val="17"/>
        </w:rPr>
        <w:t xml:space="preserve">Zitiervorschlag: § 4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