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3b BArchG 2017 — Wahrnehmung der Aufgaben nach dem Stasi-Unterlagen-Gesetz</w:t>
      </w:r>
    </w:p>
    <w:p>
      <w:r>
        <w:rPr>
          <w:color w:val="555555"/>
          <w:sz w:val="18"/>
        </w:rPr>
        <w:t xml:space="preserve">Bundesarchivgesetz</w:t>
      </w:r>
    </w:p>
    <w:p>
      <w:r>
        <w:rPr>
          <w:color w:val="555555"/>
          <w:sz w:val="18"/>
        </w:rPr>
        <w:t xml:space="preserve">Stand: 23.10.2021 (konsolidierte Textfassung, kein amtliches Inkrafttretensdatum)</w:t>
      </w:r>
    </w:p>
    <w:p>
      <w:r>
        <w:t xml:space="preserve">Das Bundesarchiv erfasst, verwahrt, verwaltet und verwendet die in ihrem Gesamtbestand zu erhaltenden Unterlagen des Staatssicherheitsdienstes als Archivgut des Bundes nach Maßgabe des Stasi-Unterlagen-Gesetzes. Soweit das Stasi-Unterlagen-Gesetz nicht entgegensteht, unterfallen die Stasi-Unterlagen den archivrechtlichen Bestimmungen des Bundes.</w:t>
      </w:r>
    </w:p>
    <w:p>
      <w:r>
        <w:rPr>
          <w:color w:val="555555"/>
          <w:sz w:val="17"/>
        </w:rPr>
        <w:t xml:space="preserve">Zitiervorschlag: § 3b BArchG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https://recht.nulegal.eu/gesetze/BArchG%202017/3b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