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BArchG 2017 — Organisation des Bundesarchivs</w:t>
      </w:r>
    </w:p>
    <w:p>
      <w:r>
        <w:rPr>
          <w:color w:val="555555"/>
          <w:sz w:val="18"/>
        </w:rPr>
        <w:t xml:space="preserve">Bundesarchivgesetz</w:t>
      </w:r>
    </w:p>
    <w:p>
      <w:r>
        <w:rPr>
          <w:color w:val="555555"/>
          <w:sz w:val="18"/>
        </w:rPr>
        <w:t xml:space="preserve">Stand: 23.10.2021 (konsolidierte Textfassung, kein amtliches Inkrafttretensdatum)</w:t>
      </w:r>
    </w:p>
    <w:p>
      <w:r>
        <w:t xml:space="preserve">Der Bund unterhält ein Bundesarchiv als selbstständige Bundesoberbehörde, die der Dienst- und Fachaufsicht der für Kultur und Medien zuständigen obersten Bundesbehörde untersteht.</w:t>
      </w:r>
    </w:p>
    <w:p>
      <w:r>
        <w:rPr>
          <w:color w:val="555555"/>
          <w:sz w:val="17"/>
        </w:rPr>
        <w:t xml:space="preserve">Zitiervorschlag: § 2 BArchG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https://recht.nulegal.eu/gesetze/BArchG%202017/2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