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BArchG 2017 — Verordnungsermächtigung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Das für Kultur und Medien zuständige Mitglied der Bundesregierung wird ermächtigt, durch Rechtsverordnung ohne Zustimmung des Bundesrates</w:t>
      </w:r>
    </w:p>
    <w:p>
      <w:pPr>
        <w:ind w:left="420"/>
      </w:pPr>
      <w:r>
        <w:t xml:space="preserve">1. nähere Einzelheiten der Nutzung von Archiv- und Bibliotheksgut des Bundesarchivs zu regeln und</w:t>
      </w:r>
    </w:p>
    <w:p>
      <w:pPr>
        <w:ind w:left="420"/>
      </w:pPr>
      <w:r>
        <w:t xml:space="preserve">2. Verfahren und Form der Pflichtregistrierung von Kinofilmen festzulegen.</w:t>
      </w:r>
    </w:p>
    <w:p>
      <w:r>
        <w:rPr>
          <w:color w:val="555555"/>
          <w:sz w:val="17"/>
        </w:rPr>
        <w:t xml:space="preserve">Zitiervorschlag: § 19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