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BArchG 2017 — Übermittlung von Vervielfältigungen von Archivgut des Bundes vor Ablauf der Schutzfristen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Das Bundesarchiv kann Archiven, Bibliotheken und Museen sowie Forschungs- und Dokumentationsstellen Vervielfältigungen von Archivgut des Bundes vor Ablauf der Schutzfristen übermitteln, wenn ein besonderes öffentliches Interesse besteht, dass ihnen dieses Archivgut zur Wahrnehmung ihrer jeweiligen Aufgaben zur Verfügung steht; § 12 Absatz 4 ist entsprechend anzuwenden.</w:t>
      </w:r>
    </w:p>
    <w:p>
      <w:r>
        <w:t xml:space="preserve">(2) Die Vervielfältigung und die Übermittlung von Unterlagen mit personenbezogenen Informationen sind nur zulässig, wenn</w:t>
      </w:r>
    </w:p>
    <w:p>
      <w:pPr>
        <w:ind w:left="420"/>
      </w:pPr>
      <w:r>
        <w:t xml:space="preserve">1. die empfangende Stelle ausreichend Gewähr für die Wahrung schutzwürdiger Interessen Betroffener und die Ausübung der damit verbundenen Rechte bietet und</w:t>
      </w:r>
    </w:p>
    <w:p>
      <w:pPr>
        <w:ind w:left="420"/>
      </w:pPr>
      <w:r>
        <w:t xml:space="preserve">2. die empfangende Stelle sich in einer schriftlichen Vereinbarung mit dem Bundesarchiv verpflichtet, § 6 Absatz 3 und die §§ 11 bis 14 entsprechend anzuwenden und die Unterlagen nur für eigene Zwecke zu nutzen.</w:t>
      </w:r>
    </w:p>
    <w:p>
      <w:r>
        <w:t xml:space="preserve">(3) Der Vervielfältigung und Übermittlung dürfen andere Rechtsvorschriften nicht entgegenstehen.</w:t>
      </w:r>
    </w:p>
    <w:p>
      <w:r>
        <w:rPr>
          <w:color w:val="555555"/>
          <w:sz w:val="17"/>
        </w:rPr>
        <w:t xml:space="preserve">Zitiervorschlag: § 16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