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BArchG 2017 — Verkürzungen und Verlängerungen der Schutzfristen</w:t>
      </w:r>
    </w:p>
    <w:p>
      <w:r>
        <w:rPr>
          <w:color w:val="555555"/>
          <w:sz w:val="18"/>
        </w:rPr>
        <w:t xml:space="preserve">Bundesarchivgesetz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(1) Das Bundesarchiv kann die Schutzfrist nach § 11 Absatz 1 verkürzen, soweit dem keine Einschränkungs- und Versagungsgründe gemäß § 13 entgegenstehen.</w:t>
      </w:r>
    </w:p>
    <w:p>
      <w:r>
        <w:t xml:space="preserve">(2) Das Bundesarchiv kann die Schutzfristen nach § 11 Absatz 2 verkürzen, wenn die Einwilligung der betroffenen Personen vorliegt. Liegt keine Einwilligung vor, kann das Bundesarchiv die Schutzfristen nach § 11 Absatz 2 verkürzen, wenn</w:t>
      </w:r>
    </w:p>
    <w:p>
      <w:pPr>
        <w:ind w:left="420"/>
      </w:pPr>
      <w:r>
        <w:t xml:space="preserve">1. die Nutzung für ein wissenschaftliches Forschungs- oder Dokumentationsvorhaben oder zur Wahrnehmung berechtigter Belange unerlässlich ist, die im überwiegenden Interesse einer anderen Person oder Stelle liegen, und</w:t>
      </w:r>
    </w:p>
    <w:p>
      <w:pPr>
        <w:ind w:left="420"/>
      </w:pPr>
      <w:r>
        <w:t xml:space="preserve">2. eine Beeinträchtigung schutzwürdiger Belange Betroffener oder ihrer Angehörigen durch angemessene Maßnahmen wie die Vorlage anonymisierter Reproduktionen oder das Einholen von Verpflichtungserklärungen ausgeschlossen werden kann.</w:t>
      </w:r>
    </w:p>
    <w:p>
      <w:r>
        <w:t xml:space="preserve">(3) Das Bundesarchiv kann die Schutzfrist nach § 11 Absatz 3 um höchstens 30 Jahre verkürzen oder verlängern, wenn dies im öffentlichen Interesse liegt.</w:t>
      </w:r>
    </w:p>
    <w:p>
      <w:r>
        <w:t xml:space="preserve">(4) Ist das Archivgut des Bundes bei einer öffentlichen Stelle des Bundes entstanden, bedarf die Verkürzung oder Verlängerung der Schutzfristen nach den Absätzen 1 bis 3 der Einwilligung dieser Stelle. Die Einwilligung ist entbehrlich, soweit dies durch eine vorherige allgemeine Vereinbarung mit der abgebenden Stelle festgelegt worden ist.</w:t>
      </w:r>
    </w:p>
    <w:p>
      <w:r>
        <w:rPr>
          <w:color w:val="555555"/>
          <w:sz w:val="17"/>
        </w:rPr>
        <w:t xml:space="preserve">Zitiervorschlag: § 12 BArchG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https://recht.nulegal.eu/gesetze/BArchG%202017/12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