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BArchBV — Inkrafttreten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