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BArchBV — Ausschluß von der Benutzung</w:t>
      </w:r>
    </w:p>
    <w:p>
      <w:r>
        <w:rPr>
          <w:color w:val="555555"/>
          <w:sz w:val="18"/>
        </w:rPr>
        <w:t xml:space="preserve">Bundesarchiv-Benutzungsverordnung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Verstößt ein Benutzer gröblich gegen Vorschriften des Bundesarchivgesetzes oder gegen die nach § 6 des Bundesarchivgesetzes erlassenen Rechtsverordnungen, wird er von Benutzungen beim Bundesarchiv ausgeschlossen.</w:t>
      </w:r>
    </w:p>
    <w:p>
      <w:r>
        <w:rPr>
          <w:color w:val="555555"/>
          <w:sz w:val="17"/>
        </w:rPr>
        <w:t xml:space="preserve">Zitiervorschlag: § 5 BArchBV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https://recht.nulegal.eu/gesetze/BArchBV/5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