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BArchBV — Sorgfaltspflicht des Benutzers</w:t>
      </w:r>
    </w:p>
    <w:p>
      <w:r>
        <w:rPr>
          <w:color w:val="555555"/>
          <w:sz w:val="18"/>
        </w:rPr>
        <w:t xml:space="preserve">Bundesarchiv-Benutzungsverordnung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Benutzer ist verpflichtet, das Archivgut in den Benutzerräumen zu belassen, die innere Ordnung des Archivgutes zu bewahren, es nicht zu beschädigen, zu verändern oder in seinem Erhaltungszustand zu gefährden.</w:t>
      </w:r>
    </w:p>
    <w:p>
      <w:r>
        <w:rPr>
          <w:color w:val="555555"/>
          <w:sz w:val="17"/>
        </w:rPr>
        <w:t xml:space="preserve">Zitiervorschlag: § 4 BArchBV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