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BArchBV — Benutzungsvoraussetzungen</w:t>
      </w:r>
    </w:p>
    <w:p>
      <w:r>
        <w:rPr>
          <w:color w:val="555555"/>
          <w:sz w:val="18"/>
        </w:rPr>
        <w:t xml:space="preserve">Bundesarchiv-Benutzungsverordnung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Benutzungsantrag ist unter genauer Angabe von Thema und Zweck der Nachforschung schriftlich zu stellen.</w:t>
      </w:r>
    </w:p>
    <w:p>
      <w:r>
        <w:t xml:space="preserve">(2) Über den Benutzungsantrag entscheidet das Bundesarchiv. Es kann die Genehmigung mit Auflagen erteilen.</w:t>
      </w:r>
    </w:p>
    <w:p>
      <w:r>
        <w:t xml:space="preserve">(3) Der Antragsteller hat sich auf Verlangen des Bundesarchivs schriftlich zu verpflichten, bei der Verwertung von Erkenntnissen aus Archivgut Persönlichkeits- und Urheberrechte sowie schutzwürdige Belange Dritter zu beachten und bei Verstößen das Bundesarchiv von der Haftung freizustellen.</w:t>
      </w:r>
    </w:p>
    <w:p>
      <w:r>
        <w:t xml:space="preserve">(4) Die Mitwirkung von Hilfskräften bei der Benutzung ist besonders zu beantragen. Die Namen der Hilfskräfte sind im Benutzungsantrag anzugeben; Absatz 3 gilt entsprechend.</w:t>
      </w:r>
    </w:p>
    <w:p>
      <w:r>
        <w:t xml:space="preserve">(5) Sollen aus dem Archivgut gewonnene Erkenntnisse für andere als im Benutzungsantrag genannte Themen oder Zwecke verwendet werden, ist ein neuer Antrag erforderlich.</w:t>
      </w:r>
    </w:p>
    <w:p>
      <w:r>
        <w:rPr>
          <w:color w:val="555555"/>
          <w:sz w:val="17"/>
        </w:rPr>
        <w:t xml:space="preserve">Zitiervorschlag: § 3 BArchBV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https://recht.nulegal.eu/gesetze/BArchBV/3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