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BArchBV — Benutzungsart</w:t>
      </w:r>
    </w:p>
    <w:p>
      <w:r>
        <w:rPr>
          <w:color w:val="555555"/>
          <w:sz w:val="18"/>
        </w:rPr>
        <w:t xml:space="preserve">Bundesarchiv-Benutzungsverordnung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Archivgut wird zur Benutzung im Original oder in Kopie vorgelegt, als Kopie abgegeben, oder es werden Auskünfte über seinen Inhalt erteilt. Über die Art der Benutzung entscheidet das Bundesarchiv.</w:t>
      </w:r>
    </w:p>
    <w:p>
      <w:r>
        <w:t xml:space="preserve">(2) Archivgut wird im Original grundsätzlich nur im Bundesarchiv vorgelegt. Über Ausnahmen entscheidet der Präsident.</w:t>
      </w:r>
    </w:p>
    <w:p>
      <w:r>
        <w:rPr>
          <w:color w:val="555555"/>
          <w:sz w:val="17"/>
        </w:rPr>
        <w:t xml:space="preserve">Zitiervorschlag: § 2 BArchBV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https://recht.nulegal.eu/gesetze/BArchBV/2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