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BApO</w:t>
      </w:r>
    </w:p>
    <w:p>
      <w:r>
        <w:rPr>
          <w:color w:val="555555"/>
          <w:sz w:val="18"/>
        </w:rPr>
        <w:t xml:space="preserve">Bundes-Apothekerordnung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(weggefallen)</w:t>
      </w:r>
    </w:p>
    <w:p>
      <w:r>
        <w:t xml:space="preserve">(2) Die Approbation kann widerrufen werden, wenn nachträglich eine der Voraussetzungen nach § 4 Abs. 1 Satz 1 Nr. 3 weggefallen ist.</w:t>
      </w:r>
    </w:p>
    <w:p>
      <w:r>
        <w:t xml:space="preserve">(3) Eine nach § 4 Abs. 2 oder 3 erteilte Approbation kann auch zurückgenommen werden, wenn eine der nicht auf § 4 Abs. 1 Satz 1 bezogenen Voraussetzungen nicht vorgelegen hat.</w:t>
      </w:r>
    </w:p>
    <w:p>
      <w:r>
        <w:rPr>
          <w:color w:val="555555"/>
          <w:sz w:val="17"/>
        </w:rPr>
        <w:t xml:space="preserve">Zitiervorschlag: § 7 BApO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https://recht.nulegal.eu/gesetze/BApO/7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