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BApO</w:t>
      </w:r>
    </w:p>
    <w:p>
      <w:r>
        <w:rPr>
          <w:color w:val="555555"/>
          <w:sz w:val="18"/>
        </w:rPr>
        <w:t xml:space="preserve">Bundes-Apothekerordnung</w:t>
      </w:r>
    </w:p>
    <w:p>
      <w:r>
        <w:rPr>
          <w:color w:val="555555"/>
          <w:sz w:val="18"/>
        </w:rPr>
        <w:t xml:space="preserve">Stand: 10.06.2019 (konsolidierte Textfassung, kein amtliches Inkrafttretensdatum)</w:t>
      </w:r>
    </w:p>
    <w:p>
      <w:r>
        <w:t xml:space="preserve">(1) Die jeweils zuständige Stelle unterrichtet die zuständigen Behörden der anderen Mitgliedstaaten der Europäischen Union, der anderen Vertragsstaaten des Abkommens über den Europäischen Wirtschaftsraum und der Schweiz über</w:t>
      </w:r>
    </w:p>
    <w:p>
      <w:pPr>
        <w:ind w:left="420"/>
      </w:pPr>
      <w:r>
        <w:t xml:space="preserve">1. den Widerruf, die Rücknahme oder das Ruhen der Approbation oder der Erlaubnis, die sofort vollziehbar oder unanfechtbar sind,</w:t>
      </w:r>
    </w:p>
    <w:p>
      <w:pPr>
        <w:ind w:left="420"/>
      </w:pPr>
      <w:r>
        <w:t xml:space="preserve">2. die sofort vollziehbare oder unanfechtbare Einschränkung der Ausübung des Apothekerberufs,</w:t>
      </w:r>
    </w:p>
    <w:p>
      <w:pPr>
        <w:ind w:left="420"/>
      </w:pPr>
      <w:r>
        <w:t xml:space="preserve">3. den Verzicht auf die Approbation oder die Erlaubnis,</w:t>
      </w:r>
    </w:p>
    <w:p>
      <w:pPr>
        <w:ind w:left="420"/>
      </w:pPr>
      <w:r>
        <w:t xml:space="preserve">4. das Verbot der Ausübung des Apothekerberufs durch unanfechtbare gerichtliche Entscheidung oder</w:t>
      </w:r>
    </w:p>
    <w:p>
      <w:pPr>
        <w:ind w:left="420"/>
      </w:pPr>
      <w:r>
        <w:t xml:space="preserve">5. das vorläufige Berufsverbot durch gerichtliche Entscheidung.</w:t>
      </w:r>
    </w:p>
    <w:p>
      <w:r>
        <w:t xml:space="preserve">(2) Die Mitteilung nach Absatz 1 (Warnmitteilung) enthält folgende Angaben:</w:t>
      </w:r>
    </w:p>
    <w:p>
      <w:pPr>
        <w:ind w:left="420"/>
      </w:pPr>
      <w:r>
        <w:t xml:space="preserve">1. die zur Identifizierung der betroffenen Person erforderlichen Angaben, insbesondere Name, Vorname, Geburtsdatum und Geburtsort,</w:t>
      </w:r>
    </w:p>
    <w:p>
      <w:pPr>
        <w:ind w:left="420"/>
      </w:pPr>
      <w:r>
        <w:t xml:space="preserve">2. Beruf der betroffenen Person,</w:t>
      </w:r>
    </w:p>
    <w:p>
      <w:pPr>
        <w:ind w:left="420"/>
      </w:pPr>
      <w:r>
        <w:t xml:space="preserve">3. Angaben über die Behörde oder das Gericht, die oder das die Entscheidung getroffen hat,</w:t>
      </w:r>
    </w:p>
    <w:p>
      <w:pPr>
        <w:ind w:left="420"/>
      </w:pPr>
      <w:r>
        <w:t xml:space="preserve">4. Umfang der Entscheidung oder des Verzichts und</w:t>
      </w:r>
    </w:p>
    <w:p>
      <w:pPr>
        <w:ind w:left="420"/>
      </w:pPr>
      <w:r>
        <w:t xml:space="preserve">5. Zeitraum, in dem die Entscheidung oder der Verzicht gilt.</w:t>
      </w:r>
    </w:p>
    <w:p>
      <w:r>
        <w:t xml:space="preserve">Die Warnmitteilung erfolgt unverzüglich, spätestens jedoch drei Tage nach Eintritt der Unanfechtbarkeit einer Entscheidung nach Absatz 1 Nummer 1, 2 oder Nummer 4, nach Bekanntgabe einer Entscheidung nach Absatz 1 Nummer 5 oder nach einem Verzicht nach Absatz 1 Nummer 3. Sie ist über das durch die Verordnung (EU) Nr. 1024/2012 des Europäischen Parlaments und des Rates vom 25. Oktober 2012 über die Verwaltungszusammenarbeit mit Hilfe des Binnenmarkt-Informationssystems und zur Aufhebung der Entscheidung 2008/49/EG der Kommission (ABl. L 316 vom 14.11.2012, S. 1) eingerichtete Binnenmarkt-Informationssystem (IMI) zu übermitteln. Zeitgleich mit der Warnmitteilung unterrichtet die Stelle, die die Warnmitteilung getätigt hat, die betroffene Person über die Warnmitteilung und deren Inhalt schriftlich unter Beifügung einer Rechtsbehelfsbelehrung. Wird ein Rechtsbehelf gegen die Warnmitteilung eingelegt, ergänzt die Stelle, die die Warnmitteilung getätigt hat, die Warnmitteilung um einen entsprechenden Hinweis.</w:t>
      </w:r>
    </w:p>
    <w:p>
      <w:r>
        <w:t xml:space="preserve">(3) Im Fall der Aufhebung einer in Absatz 1 genannten Entscheidung oder eines Widerrufs des Verzichts unterrichtet jeweils die zuständige Stelle die zuständigen Behörden der anderen Mitgliedstaaten der Europäischen Union, der anderen Vertragsstaaten des Abkommens über den Europäischen Wirtschaftsraum und der Schweiz unverzüglich unter Angabe des Datums über die Aufhebung der Entscheidung oder den Widerruf des Verzichts. Die zuständige Stelle unterrichtet die zuständigen Behörden der anderen Mitgliedstaaten der Europäischen Union, der anderen Vertragsstaaten des Abkommens über den Europäischen Wirtschaftsraum und der Schweiz ebenfalls unverzüglich über jede Änderung des nach Absatz 2 Satz 1 Nummer 5 angegebenen Zeitraums. Die zuständige Stelle löscht Warnmitteilungen nach Absatz 1 im IMI unverzüglich, spätestens jedoch drei Tage nach Aufhebung der Entscheidung oder Widerruf des Verzichts.</w:t>
      </w:r>
    </w:p>
    <w:p>
      <w:r>
        <w:t xml:space="preserve">(4) Wird gerichtlich festgestellt, dass eine Person, die die Erteilung der Approbation oder die Feststellung der Gleichwertigkeit ihrer Berufsqualifikation nach diesem Gesetz beantragt hat, dabei gefälschte Berufsqualifikationsnachweise verwendet hat, unterrichtet die zuständige Stelle die zuständigen Behörden der anderen Mitgliedstaaten der Europäischen Union, der anderen Vertragsstaaten des Abkommens über den Europäischen Wirtschaftsraum und der Schweiz über die Identität dieser Person, insbesondere über Name, Vorname, Geburtsdatum und Geburtsort, und den Umstand, dass diese Person gefälschte Berufsqualifikationsnachweise verwendet hat. Die Unterrichtung erfolgt unverzüglich, spätestens jedoch drei Tage nach Unanfechtbarkeit der Feststellung über das IMI. Absatz 2 Satz 4 und 5 gilt für die Unterrichtung nach Satz 1 entsprechend.</w:t>
      </w:r>
    </w:p>
    <w:p>
      <w:r>
        <w:t xml:space="preserve">(5) Ergänzend zu den Absätzen 1 bis 4 ist die Durchführungsverordnung (EU) 2015/983 der Kommission vom 24. Juni 2015 betreffend das Verfahren zur Ausstellung des Europäischen Berufsausweises und die Anwendung des Vorwarnmechanismus gemäß der Richtlinie 2005/36/EG des Europäischen Parlaments und des Rates (ABl. L 159 vom 25.6.2015, S. 27) in der jeweils geltenden Fassung zu beachten.</w:t>
      </w:r>
    </w:p>
    <w:p>
      <w:r>
        <w:rPr>
          <w:color w:val="555555"/>
          <w:sz w:val="17"/>
        </w:rPr>
        <w:t xml:space="preserve">Zitiervorschlag: § 4a BApO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