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BApO</w:t>
      </w:r>
    </w:p>
    <w:p>
      <w:r>
        <w:rPr>
          <w:color w:val="555555"/>
          <w:sz w:val="18"/>
        </w:rPr>
        <w:t xml:space="preserve">Bundes-Apothekerordnung</w:t>
      </w:r>
    </w:p>
    <w:p>
      <w:r>
        <w:rPr>
          <w:color w:val="555555"/>
          <w:sz w:val="18"/>
        </w:rPr>
        <w:t xml:space="preserve">Stand: 28.01.2022 (konsolidierte Textfassung, kein amtliches Inkrafttretensdatum)</w:t>
      </w:r>
    </w:p>
    <w:p>
      <w:r>
        <w:t xml:space="preserve">Der Apotheker ist berufen, die Bevölkerung ordnungsgemäß mit Arzneimitteln, die zur Anwendung beim Menschen bestimmt sind, und Tierarzneimitteln (Arzneimittel) zu versorgen. Er dient damit der Gesundheit des einzelnen Menschen und des gesamten Volkes.</w:t>
      </w:r>
    </w:p>
    <w:p>
      <w:r>
        <w:rPr>
          <w:color w:val="555555"/>
          <w:sz w:val="17"/>
        </w:rPr>
        <w:t xml:space="preserve">Zitiervorschlag: § 1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