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BAnerkV 2016</w:t>
      </w:r>
    </w:p>
    <w:p>
      <w:r>
        <w:rPr>
          <w:color w:val="555555"/>
          <w:sz w:val="18"/>
        </w:rPr>
        <w:t xml:space="preserve">Konformitätsbewertungsstellen-Anerkennungs-Verordnung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verordnet auf Grund</w:t>
      </w:r>
    </w:p>
    <w:p>
      <w:pPr>
        <w:ind w:left="420"/>
      </w:pPr>
      <w:r>
        <w:t xml:space="preserve">– des § 8 Absatz 1 Satz 6 des Gesetzes über Funkanlagen und Telekommunikationsendeinrichtungen, der zuletzt durch Artikel 2 Nummer 3 des Gesetzes vom 20. April 2012 (BGBl. I S. 606) geändert worden ist, im Einvernehmen mit dem Bundesministerium der Finanzen und dem Bundesministerium für Verkehr und digitale Infrastruktur und</w:t>
      </w:r>
    </w:p>
    <w:p>
      <w:pPr>
        <w:ind w:left="420"/>
      </w:pPr>
      <w:r>
        <w:t xml:space="preserve">– des § 21 Absatz 2 des Elektromagnetische-Verträglichkeit-Gesetzes vom 14. Dezember 2016 (BGBl. I S. 2879)</w:t>
      </w:r>
    </w:p>
    <w:p>
      <w:r>
        <w:t xml:space="preserve">jeweils in Verbindung mit § 23 Absatz 2 des Bundesgebührengesetzes vom 7. August 2013 (BGBl. I S. 3154):</w:t>
      </w:r>
    </w:p>
    <w:p>
      <w:r>
        <w:rPr>
          <w:color w:val="555555"/>
          <w:sz w:val="17"/>
        </w:rPr>
        <w:t xml:space="preserve">Zitiervorschlag: Eingangsformel BAnerkV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https://recht.nulegal.eu/gesetze/BAnerkV%202016/eingangsformel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