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BAnerkV 2016 — Inkrafttreten, Außerkrafttreten</w:t>
      </w:r>
    </w:p>
    <w:p>
      <w:r>
        <w:rPr>
          <w:color w:val="555555"/>
          <w:sz w:val="18"/>
        </w:rPr>
        <w:t xml:space="preserve">Konformitätsbewertungsstellen-Anerkennungs-Verordnung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 Gleichzeitig tritt die Anerkennungs-Verordnung vom 7. Juni 2002 (BGBl. I S. 1792), die zuletzt durch Artikel 460 der Verordnung vom 31. August 2015 (BGBl. I S. 1474) geändert worden ist, außer Kraft.</w:t>
      </w:r>
    </w:p>
    <w:p>
      <w:r>
        <w:rPr>
          <w:color w:val="555555"/>
          <w:sz w:val="17"/>
        </w:rPr>
        <w:t xml:space="preserve">Zitiervorschlag: § 16 BAnerkV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https://recht.nulegal.eu/gesetze/BAnerkV%202016/16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