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BAnerkV 2016 — Befugnis der Konformitätsbewertungsstelle für Drittstaaten</w:t>
      </w:r>
    </w:p>
    <w:p>
      <w:r>
        <w:rPr>
          <w:color w:val="555555"/>
          <w:sz w:val="18"/>
        </w:rPr>
        <w:t xml:space="preserve">Konformitätsbewertungsstellen-Anerkennungs-Verordnung</w:t>
      </w:r>
    </w:p>
    <w:p>
      <w:r>
        <w:rPr>
          <w:color w:val="555555"/>
          <w:sz w:val="18"/>
        </w:rPr>
        <w:t xml:space="preserve">Stand: 10.06.2019 (konsolidierte Textfassung, kein amtliches Inkrafttretensdatum)</w:t>
      </w:r>
    </w:p>
    <w:p>
      <w:r>
        <w:t xml:space="preserve">(1) Mit der Anerkennung als Konformitätsbewertungsstelle für Drittstaaten im Rahmen der in Anlage 2 zu dieser Verordnung aufgeführten Abkommen zwischen der Europäischen Union und den dort genannten Drittstaaten ist eine natürliche oder juristische Person oder eine rechtsfähige Personengesellschaft befugt, die Aufgaben der Konformitätsbewertung in Bezug auf die elektromagnetische Verträglichkeit für Drittstaaten im Rahmen des jeweiligen Abkommens wahrzunehmen.</w:t>
      </w:r>
    </w:p>
    <w:p>
      <w:r>
        <w:t xml:space="preserve">(2) § 2 Absatz 1, § 3 Absatz 1, Absatz 2 Nummer 1, Absatz 3 und 4, § 4 Absatz 1, Absatz 3 bis 7 sowie die §§ 5 bis 10 finden entsprechende Anwendung. Die Erfüllung der in § 5 aufgelisteten und in den jeweiligen Abkommen enthaltenen Anforderungen in Bezug auf den sektoralen Anhang zur elektromagnetischen Verträglichkeit ist von der Konformitätsbewertungsstelle für Drittstaaten im Antrag darzulegen.</w:t>
      </w:r>
    </w:p>
    <w:p>
      <w:r>
        <w:t xml:space="preserve">(3) Die Notifizierung erfolgt unter Anwendung des geltenden Dossiers auf elektronischem Weg an die Europäische Kommission. Die Konformitätsbewertungsstelle für Drittstaaten darf nach erfolgter Notifizierung nach § 4 Absatz 3 dieser Verordnung die Konformitätsbewertungstätigkeit erst aufnehmen, wenn die durch die Europäische Kommission an den Drittstaat übermittelte Notifizierung durch diesen anerkannt und bestätigt ist.</w:t>
      </w:r>
    </w:p>
    <w:p>
      <w:r>
        <w:rPr>
          <w:color w:val="555555"/>
          <w:sz w:val="17"/>
        </w:rPr>
        <w:t xml:space="preserve">Zitiervorschlag: § 13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