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BAföGZustV 2004</w:t>
      </w:r>
    </w:p>
    <w:p>
      <w:r>
        <w:rPr>
          <w:color w:val="555555"/>
          <w:sz w:val="18"/>
        </w:rPr>
        <w:t xml:space="preserve">BAföG-AuslandszuständigkeitsV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Abs. 4 Satz 2 des Bundesausbildungsförderungsgesetzes in der Fassung der Bekanntmachung vom 6. Juni 1983 (BGBl. I S. 645, 1680), der zuletzt durch Artikel 1 Nr. 12 des Gesetzes vom 7. Mai 1999 (BGBl. I S. 850) geändert worden ist, verordnet das Bundesministerium für Bildung und Forschung:</w:t>
      </w:r>
    </w:p>
    <w:p>
      <w:r>
        <w:rPr>
          <w:color w:val="555555"/>
          <w:sz w:val="17"/>
        </w:rPr>
        <w:t xml:space="preserve">Zitiervorschlag: Eingangsformel BAföGZustV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https://recht.nulegal.eu/gesetze/BAf%C3%B6GZustV%202004/eingangsformel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