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BAföGZV (Brandenburg) — Inkrafttreten</w:t>
      </w:r>
    </w:p>
    <w:p>
      <w:r>
        <w:rPr>
          <w:color w:val="555555"/>
          <w:sz w:val="18"/>
        </w:rPr>
        <w:t xml:space="preserve">BAföG-Zuständigkeitsverordnung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Januar 1996 in</w:t>
      </w:r>
    </w:p>
    <w:p>
      <w:r>
        <w:t xml:space="preserve">Kraft.</w:t>
      </w:r>
    </w:p>
    <w:p>
      <w:r>
        <w:rPr>
          <w:color w:val="555555"/>
          <w:sz w:val="17"/>
        </w:rPr>
        <w:t xml:space="preserve">Zitiervorschlag: § 4 BAföGZV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