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BAföGZV (Brandenburg) — Ämter für Ausbildungsförderung</w:t>
      </w:r>
    </w:p>
    <w:p>
      <w:r>
        <w:rPr>
          <w:color w:val="555555"/>
          <w:sz w:val="18"/>
        </w:rPr>
        <w:t xml:space="preserve">BAföG-Zuständigkeitsverordnung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von den Landkreisen und kreisfreien Städten</w:t>
      </w:r>
    </w:p>
    <w:p>
      <w:r>
        <w:t xml:space="preserve">errichteten Ämter für Ausbildungsförderung und die</w:t>
      </w:r>
    </w:p>
    <w:p>
      <w:r>
        <w:t xml:space="preserve">Studentenwerke des Landes Brandenburg führen die Aufgaben nach dem</w:t>
      </w:r>
    </w:p>
    <w:p>
      <w:r>
        <w:t xml:space="preserve">Bundesausbildungsförderungsgesetz im Auftrage des Bundes durch.</w:t>
      </w:r>
    </w:p>
    <w:p>
      <w:r>
        <w:t xml:space="preserve">(2) Die örtliche Zuständigkeit der Ämter</w:t>
      </w:r>
    </w:p>
    <w:p>
      <w:r>
        <w:t xml:space="preserve">für Ausbildungsförderung der Kreise und kreisfreien Städte</w:t>
      </w:r>
    </w:p>
    <w:p>
      <w:r>
        <w:t xml:space="preserve">regelt sich nach § 45 Abs. 1 und 2 des</w:t>
      </w:r>
    </w:p>
    <w:p>
      <w:r>
        <w:t xml:space="preserve">Bundesausbildungsförderungsgesetzes.</w:t>
      </w:r>
    </w:p>
    <w:p>
      <w:r>
        <w:t xml:space="preserve">(3) Für die an der Europa-Universität</w:t>
      </w:r>
    </w:p>
    <w:p>
      <w:r>
        <w:t xml:space="preserve">„Viadrina“, der Brandenburgischen Technischen Universität</w:t>
      </w:r>
    </w:p>
    <w:p>
      <w:r>
        <w:t xml:space="preserve">Cottbus, der Fachhochschule Eberswalde, der Fachhochschule Lausitz und für</w:t>
      </w:r>
    </w:p>
    <w:p>
      <w:r>
        <w:t xml:space="preserve">die in Afrika und Ozeanien immatrikulierten Studierenden ist das Studentenwerk</w:t>
      </w:r>
    </w:p>
    <w:p>
      <w:r>
        <w:t xml:space="preserve">Frankfurt (Oder), für die an der Universität Potsdam, der Hochschule</w:t>
      </w:r>
    </w:p>
    <w:p>
      <w:r>
        <w:t xml:space="preserve">für Film und Fernsehen „Konrad Wolf“ Potsdam Babelsberg, der</w:t>
      </w:r>
    </w:p>
    <w:p>
      <w:r>
        <w:t xml:space="preserve">Fachhochschule Brandenburg, der Technischen Fachhochschule Wildau, der</w:t>
      </w:r>
    </w:p>
    <w:p>
      <w:r>
        <w:t xml:space="preserve">Fachhochschule Potsdam, der am Theologischen Seminar Elstal (Fachhochschule)</w:t>
      </w:r>
    </w:p>
    <w:p>
      <w:r>
        <w:t xml:space="preserve">des Bundes Evangelisch-Freikirchlicher Gemeinden Deutschlands KdöR und an</w:t>
      </w:r>
    </w:p>
    <w:p>
      <w:r>
        <w:t xml:space="preserve">der Hochschule für digitale Medienproduktion ( THE GERMAN</w:t>
      </w:r>
    </w:p>
    <w:p>
      <w:r>
        <w:t xml:space="preserve">FILM SCOOL ) in Elstal immatrikulierten Studierenden das Studentenwerk</w:t>
      </w:r>
    </w:p>
    <w:p>
      <w:r>
        <w:t xml:space="preserve">Potsdam örtlich zuständiges Amt für Ausbildungsförderung.</w:t>
      </w:r>
    </w:p>
    <w:p>
      <w:r>
        <w:t xml:space="preserve">(4) Das für Wissenschaft zuständige Mitglied der</w:t>
      </w:r>
    </w:p>
    <w:p>
      <w:r>
        <w:t xml:space="preserve">Landesregierung übt die Fachaufsicht über die Ämter für</w:t>
      </w:r>
    </w:p>
    <w:p>
      <w:r>
        <w:t xml:space="preserve">Ausbildungsförderung aus.</w:t>
      </w:r>
    </w:p>
    <w:p>
      <w:r>
        <w:rPr>
          <w:color w:val="555555"/>
          <w:sz w:val="17"/>
        </w:rPr>
        <w:t xml:space="preserve">Zitiervorschlag: § 1 BAföGZV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BAföGZV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