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BAföGFachlehrerV</w:t>
      </w:r>
    </w:p>
    <w:p>
      <w:r>
        <w:rPr>
          <w:color w:val="555555"/>
          <w:sz w:val="18"/>
        </w:rPr>
        <w:t xml:space="preserve">Verordnung über die Ausbildungsförderung für den Besuch von Instituten zur Ausbildung von Fachlehrern und Sportlehrern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 Abs. 3 Nr. 1 des Bundesausbildungsförderungsgesetzes in der Fassung der Bekanntmachung vom 6. Juni 1983 (BGBl. I S. 645) wird mit Zustimmung des Bundesrates verordnet:</w:t>
      </w:r>
    </w:p>
    <w:p>
      <w:r>
        <w:rPr>
          <w:color w:val="555555"/>
          <w:sz w:val="17"/>
        </w:rPr>
        <w:t xml:space="preserve">Zitiervorschlag: Eingangsformel BAföGFachlehrerV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https://recht.nulegal.eu/gesetze/BAf%C3%B6GFachlehrerV/eingangsformel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