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BAföGFachlehrerV — Inkrafttreten</w:t>
      </w:r>
    </w:p>
    <w:p>
      <w:r>
        <w:rPr>
          <w:color w:val="555555"/>
          <w:sz w:val="18"/>
        </w:rPr>
        <w:t xml:space="preserve">Verordnung über die Ausbildungsförderung für den Besuch von Instituten zur Ausbildung von Fachlehrern und Sportlehrern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August 1983 in Kraft.</w:t>
      </w:r>
    </w:p>
    <w:p>
      <w:r>
        <w:rPr>
          <w:color w:val="555555"/>
          <w:sz w:val="17"/>
        </w:rPr>
        <w:t xml:space="preserve">Zitiervorschlag: § 4 BAföGFachlehrerV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https://recht.nulegal.eu/gesetze/BAf%C3%B6GFachlehrerV/4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