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BAföG — Eignung</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(1) Die Ausbildung wird gefördert, wenn die Leistungen des Auszubildenden erwarten lassen, dass er das angestrebte Ausbildungsziel erreicht.</w:t>
      </w:r>
    </w:p>
    <w:p>
      <w:r>
        <w:t xml:space="preserve">(2) Dies wird in der Regel angenommen, solange der Auszubildende die Ausbildungsstätte besucht oder an dem Praktikum teilnimmt und bei dem Besuch einer Höheren Fachschule, Akademie oder Hochschule die den jeweiligen Ausbildungs- und Prüfungsordnungen entsprechenden Studienfortschritte erkennen lässt. Hierüber sind die nach § 48 erforderlichen Nachweise zu erbringen.</w:t>
      </w:r>
    </w:p>
    <w:p>
      <w:r>
        <w:t xml:space="preserve">(3) Bei der Teilnahme an Fernunterrichtslehrgängen wird dies angenommen, wenn der Auszubildende die Bescheinigung nach § 3 Absatz 3 beigebracht hat.</w:t>
      </w:r>
    </w:p>
    <w:p>
      <w:r>
        <w:rPr>
          <w:color w:val="555555"/>
          <w:sz w:val="17"/>
        </w:rPr>
        <w:t xml:space="preserve">Zitiervorschlag: § 9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