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BAföG — Weitergeltende Vorschriften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Vorschriften über die Leistung individueller Förderung der Ausbildung nach</w:t>
      </w:r>
    </w:p>
    <w:p>
      <w:pPr>
        <w:ind w:left="420"/>
      </w:pPr>
      <w:r>
        <w:t xml:space="preserve">1. dem Vierzehnten Buch Sozialgesetzbuch,</w:t>
      </w:r>
    </w:p>
    <w:p>
      <w:pPr>
        <w:ind w:left="420"/>
      </w:pPr>
      <w:r>
        <w:t xml:space="preserve">2. den Gesetzen, die das Vierzehnten Buch Sozialgesetzbuch für anwendbar erklären,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dem Bundesentschädigungsgesetz sowie</w:t>
      </w:r>
    </w:p>
    <w:p>
      <w:pPr>
        <w:ind w:left="420"/>
      </w:pPr>
      <w:r>
        <w:t xml:space="preserve">5. dem Häftlingshilfegesetz in der Fassung der Bekanntmachung vom 2. Juni 1993 (BGBl. I S. 838), zuletzt geändert durch Artikel 4 des Gesetzes vom 17. Dezember 1999 (BGBl. I S. 2662)</w:t>
      </w:r>
    </w:p>
    <w:p>
      <w:r>
        <w:t xml:space="preserve">werden durch dieses Gesetz nicht berührt.</w:t>
      </w:r>
    </w:p>
    <w:p>
      <w:r>
        <w:t xml:space="preserve">(2) Die in Absatz 1 Nummer 2, 4 und 5 bezeichneten Vorschriften haben Vorrang vor diesem Gesetz.</w:t>
      </w:r>
    </w:p>
    <w:p>
      <w:r>
        <w:rPr>
          <w:color w:val="555555"/>
          <w:sz w:val="17"/>
        </w:rPr>
        <w:t xml:space="preserve">Zitiervorschlag: § 65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