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BAföG — Ordnungswidrigkeiten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60 Absatz 1 des Ersten Buches Sozialgesetzbuch, jeweils auch in Verbindung mit § 47 Absatz 4, eine Angabe oder eine Änderungsmitteilung nicht, nicht richtig, nicht vollständig oder nicht rechtzeitig macht oder eine Beweisurkunde nicht, nicht richtig, nicht vollständig oder nicht rechtzeitig vorlegt;</w:t>
      </w:r>
    </w:p>
    <w:p>
      <w:pPr>
        <w:ind w:left="420"/>
      </w:pPr>
      <w:r>
        <w:t xml:space="preserve">2. entgegen § 47 Absatz 2 oder 5 Nummer 1 eine Auskunft nicht, nicht richtig, nicht vollständig oder nicht rechtzeitig erteilt oder eine Urkunde nicht oder nicht rechtzeitig vorlegt oder nicht oder nicht rechtzeitig ausstellt;</w:t>
      </w:r>
    </w:p>
    <w:p>
      <w:pPr>
        <w:ind w:left="420"/>
      </w:pPr>
      <w:r>
        <w:t xml:space="preserve">2a. entgegen § 47 Absatz 3 das Amt für Ausbildungsförderung nicht oder nicht rechtzeitig unterrichtet oder</w:t>
      </w:r>
    </w:p>
    <w:p>
      <w:pPr>
        <w:ind w:left="420"/>
      </w:pPr>
      <w:r>
        <w:t xml:space="preserve">3. einer Rechtsverordnung nach § 18 Absatz 14 Nummer 2 zuwiderhandelt, soweit sie für einen bestimmten Tatbestand auf diese Bußgeldvorschrift verweist.</w:t>
      </w:r>
    </w:p>
    <w:p>
      <w:r>
        <w:t xml:space="preserve">(2) Die Ordnungswidrigkeit kann mit einer Geldbuße bis zu 2 500 Euro geahndet werden.</w:t>
      </w:r>
    </w:p>
    <w:p>
      <w:r>
        <w:t xml:space="preserve">(3) Verwaltungsbehörde im Sinne des § 36 Absatz 1 Nummer 1 des Gesetzes über Ordnungswidrigkeiten ist in den Fällen des Absatzes 1 Nummer 1, 2 und 2a das Amt für Ausbildungsförderung oder die auf Grund einer Rechtsverordnung nach § 56 Absatz 4 mit der Durchführung der Studienstarthilfe betraute Stelle, in den Fällen des Absatzes 1 Nummer 3 das Bundesverwaltungsamt.</w:t>
      </w:r>
    </w:p>
    <w:p>
      <w:r>
        <w:rPr>
          <w:color w:val="555555"/>
          <w:sz w:val="17"/>
        </w:rPr>
        <w:t xml:space="preserve">Zitiervorschlag: § 58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