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56b BAföG — Nichtanrechnung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25.07.2024 (konsolidierte Textfassung, kein amtliches Inkrafttretensdatum)</w:t>
      </w:r>
    </w:p>
    <w:p>
      <w:r>
        <w:t xml:space="preserve">(1) Die Studienstarthilfe ist bei der Gewährung von einkommensabhängigen Sozialleistungen und von Leistungen nach dem Asylbewerberleistungsgesetz nicht als Einkommen zu berücksichtigen. Die Studienstarthilfe ist weder Einkommen nach § 93 Absatz 1 Satz 1 des Achten Buches Sozialgesetzbuch noch als zweckgleiche Leistung nach § 93 Absatz 1 Satz 3 des Achten Buches Sozialgesetzbuch einzusetzen.</w:t>
      </w:r>
    </w:p>
    <w:p>
      <w:r>
        <w:t xml:space="preserve">(2) Die Studienstarthilfe ist nicht auf leistungs- oder begabungsabhängige Stipendienleistungen aus öffentlichen Mitteln anzurechnen.</w:t>
      </w:r>
    </w:p>
    <w:p>
      <w:r>
        <w:rPr>
          <w:color w:val="555555"/>
          <w:sz w:val="17"/>
        </w:rPr>
        <w:t xml:space="preserve">Zitiervorschlag: § 56b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https://recht.nulegal.eu/gesetze/BAf%C3%B6G/56b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