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BAföG — Förderungsart und Umfang; Datenabgleich</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Die Studienstarthilfe wird einmalig als Zuschuss zum Beginn der Ausbildung in Höhe von 1 000 Euro geleistet.</w:t>
      </w:r>
    </w:p>
    <w:p>
      <w:r>
        <w:t xml:space="preserve">(2) Um eine mehrfache Beantragung und Auszahlung der Studienstarthilfe zu vermeiden, führt die für das Antragsportal „BAföG Digital“ zuständige Stelle vor Weiterleitung der Anträge an das zuständige Amt für Ausbildungsförderung oder die vom Land mit der Durchführung betraute Stelle einen automatischen Abgleich von den im Rahmen der Antragstellung angegebenen Daten des Antragstellers mit den Daten von bisherigen Antragstellern der Studienstarthilfe durch. Zu diesem Zweck speichert die für das Antragsportal zuständige Stelle folgende Daten aus dem Antrag:</w:t>
      </w:r>
    </w:p>
    <w:p>
      <w:pPr>
        <w:ind w:left="420"/>
      </w:pPr>
      <w:r>
        <w:t xml:space="preserve">1. Name und Vorname sowie Geburtsname,</w:t>
      </w:r>
    </w:p>
    <w:p>
      <w:pPr>
        <w:ind w:left="420"/>
      </w:pPr>
      <w:r>
        <w:t xml:space="preserve">2. Geburtsort und Geburtsdatum,</w:t>
      </w:r>
    </w:p>
    <w:p>
      <w:r>
        <w:t xml:space="preserve">und führt mit den Daten bei Antragstellung den in Satz 1 genannten Abgleich durch. Die für das Antragsportal zuständige Stelle speichert für jeden Antrag auch das nach § 56 Absatz 5 zuständige Amt oder die betraute Stelle. Die nach Satz 2 gespeicherten Daten dürfen außer zu ihrer Übermittlung im Rahmen der Antragstellung ausschließlich für den Zweck des Datenabgleichs nach Satz 1 verwendet werden und sind nach Ablauf von drei Jahren zu löschen. Sofern mit den in Satz 2 genannten Daten bereits ein Antrag auf Studienstarthilfe im Antragsportal gespeichert ist, ist die erneute Antragstellung ausgeschlossen, der Antragsteller ist im Antragsportal darauf hinzuweisen und an das zuständige Amt für Ausbildungsförderung oder die mit der Durchführung der Studienstarthilfe betraute Stelle zu verweisen. Die Möglichkeit der Datenkorrektur durch erneute Eingabe der Antragsdaten bleibt unberührt. Besteht nach Prüfung des Amtes oder der zuständigen Stelle trotz des Ergebnisses des Datenabgleichs ein Anspruch auf Studienstarthilfe, ist dem Antrag stattzugeben.</w:t>
      </w:r>
    </w:p>
    <w:p>
      <w:r>
        <w:rPr>
          <w:color w:val="555555"/>
          <w:sz w:val="17"/>
        </w:rPr>
        <w:t xml:space="preserve">Zitiervorschlag: § 56a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