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BAföG — Rechtsweg</w:t>
      </w:r>
    </w:p>
    <w:p>
      <w:r>
        <w:rPr>
          <w:color w:val="555555"/>
          <w:sz w:val="18"/>
        </w:rPr>
        <w:t xml:space="preserve">Bundesausbildungsförderungsgesetz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öffentlich-rechtliche Streitigkeiten aus diesem Gesetz ist der Verwaltungsrechtsweg gegeben.</w:t>
      </w:r>
    </w:p>
    <w:p>
      <w:r>
        <w:rPr>
          <w:color w:val="555555"/>
          <w:sz w:val="17"/>
        </w:rPr>
        <w:t xml:space="preserve">Zitiervorschlag: § 54 BAföG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