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BAföG — Antrag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25.07.2024 (konsolidierte Textfassung, kein amtliches Inkrafttretensdatum)</w:t>
      </w:r>
    </w:p>
    <w:p>
      <w:r>
        <w:t xml:space="preserve">(1) Über die Leistung von Ausbildungsförderung wird auf schriftlichen oder elektronischen Antrag entschieden.</w:t>
      </w:r>
    </w:p>
    <w:p>
      <w:r>
        <w:t xml:space="preserve">(2) Der Antrag ist an das örtlich zuständige Amt für Ausbildungsförderung zu richten. Die zur Feststellung des Anspruchs erforderlichen Tatsachen sind auf den Formblättern anzugeben, soweit solche vorgesehen sind.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Auf Antrag hat das Amt für Ausbildungsförderung dem Grunde nach vorab zu entscheiden, ob die Förderungsvoraussetzungen für eine nach Fachrichtung und Ausbildungsstätte bestimmt bezeichnete</w:t>
      </w:r>
    </w:p>
    <w:p>
      <w:pPr>
        <w:ind w:left="420"/>
      </w:pPr>
      <w:r>
        <w:t xml:space="preserve">1. Ausbildung im Ausland nach § 5 Absatz 2 und 5,</w:t>
      </w:r>
    </w:p>
    <w:p>
      <w:pPr>
        <w:ind w:left="420"/>
      </w:pPr>
      <w:r>
        <w:t xml:space="preserve">2. Ausbildung nach § 7 Absatz 1a,</w:t>
      </w:r>
    </w:p>
    <w:p>
      <w:pPr>
        <w:ind w:left="420"/>
      </w:pPr>
      <w:r>
        <w:t xml:space="preserve">3. weitere Ausbildung nach § 7 Absatz 2,</w:t>
      </w:r>
    </w:p>
    <w:p>
      <w:pPr>
        <w:ind w:left="420"/>
      </w:pPr>
      <w:r>
        <w:t xml:space="preserve">4. andere Ausbildung nach § 7 Absatz 3,</w:t>
      </w:r>
    </w:p>
    <w:p>
      <w:pPr>
        <w:ind w:left="420"/>
      </w:pPr>
      <w:r>
        <w:t xml:space="preserve">5. Ausbildung nach Überschreiten der Altersgrenze nach § 10 Absatz 3</w:t>
      </w:r>
    </w:p>
    <w:p>
      <w:r>
        <w:t xml:space="preserve">vorliegen. Die Entscheidung nach den Nummern 2 bis 5 ist für den ganzen Ausbildungsabschnitt zu treffen. Das Amt ist an die Entscheidung nicht mehr gebunden, wenn der Auszubildende die Ausbildung nicht binnen eines Jahres nach Antragstellung beginnt.</w:t>
      </w:r>
    </w:p>
    <w:p>
      <w:r>
        <w:rPr>
          <w:color w:val="555555"/>
          <w:sz w:val="17"/>
        </w:rPr>
        <w:t xml:space="preserve">Zitiervorschlag: § 46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