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45a BAföG — Wechsel in der Zuständigkeit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anderes Amt für Ausbildungsförderung zuständig, so tritt dieses Amt für sämtliche Verwaltungshandlungen einschließlich des Vorverfahrens an die Stelle des bisher zuständigen Amtes. § 2 Absatz 2 des Zehnten Buches Sozialgesetzbuch bleibt unberührt.</w:t>
      </w:r>
    </w:p>
    <w:p>
      <w:r>
        <w:t xml:space="preserve">(2) Hat die örtliche Zuständigkeit gewechselt, muss das bisher zuständige Amt die Leistungen noch solange erbringen, bis sie von dem nunmehr zuständigen Amt fortgesetzt werden.</w:t>
      </w:r>
    </w:p>
    <w:p>
      <w:r>
        <w:t xml:space="preserve">(3) Sobald ein Amt zuständig ist, das in einem anderen Land liegt, gehen die Ansprüche nach § 50 Absatz 1 des Zehnten Buches Sozialgesetzbuch und § 20 auf dieses Land über.</w:t>
      </w:r>
    </w:p>
    <w:p>
      <w:r>
        <w:rPr>
          <w:color w:val="555555"/>
          <w:sz w:val="17"/>
        </w:rPr>
        <w:t xml:space="preserve">Zitiervorschlag: § 45a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