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BAföG — Beirat für Ausbildungsförderung</w:t>
      </w:r>
    </w:p>
    <w:p>
      <w:r>
        <w:rPr>
          <w:color w:val="555555"/>
          <w:sz w:val="18"/>
        </w:rPr>
        <w:t xml:space="preserve">Bundesausbildungsförderungsgesetz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Bundesministerium für Bildung und Forschung kann durch Rechtsverordnung ohne Zustimmung des Bundesrates einen Beirat für Ausbildungsförderung bilden, der es bei</w:t>
      </w:r>
    </w:p>
    <w:p>
      <w:pPr>
        <w:ind w:left="420"/>
      </w:pPr>
      <w:r>
        <w:t xml:space="preserve">1. der Durchführung des Gesetzes,</w:t>
      </w:r>
    </w:p>
    <w:p>
      <w:pPr>
        <w:ind w:left="420"/>
      </w:pPr>
      <w:r>
        <w:t xml:space="preserve">2. der weiteren Ausgestaltung der gesetzlichen Regelung der individuellen Ausbildungsförderung und</w:t>
      </w:r>
    </w:p>
    <w:p>
      <w:pPr>
        <w:ind w:left="420"/>
      </w:pPr>
      <w:r>
        <w:t xml:space="preserve">3. der Berücksichtigung neuer Ausbildungsformen</w:t>
      </w:r>
    </w:p>
    <w:p>
      <w:r>
        <w:t xml:space="preserve">berät.</w:t>
      </w:r>
    </w:p>
    <w:p>
      <w:r>
        <w:t xml:space="preserve">(2) In den Beirat sind Vertreter der an der Ausführung des Gesetzes beteiligten Landes- und Gemeindebehörden, des Deutschen Studentenwerkes e. V., der Bundesagentur für Arbeit, der Lehrkörper der Ausbildungsstätten, der Auszubildenden, der Elternschaft, der Rechts-, Wirtschafts- oder Sozialwissenschaften, der Arbeitgeber sowie der Arbeitnehmer zu berufen.</w:t>
      </w:r>
    </w:p>
    <w:p>
      <w:r>
        <w:rPr>
          <w:color w:val="555555"/>
          <w:sz w:val="17"/>
        </w:rPr>
        <w:t xml:space="preserve">Zitiervorschlag: § 44 BAföG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https://recht.nulegal.eu/gesetze/BAf%C3%B6G/44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