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BAföG — Fernunterricht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Ausbildungsförderung wird für die Teilnahme an Fernunterrichtslehrgängen geleistet, soweit sie unter denselben Zugangsvoraussetzungen auf denselben Abschluss vorbereiten wie die in § 2 Absatz 1 bezeichneten oder nach § 2 Absatz 3 bestimmten Ausbildungsstätten.</w:t>
      </w:r>
    </w:p>
    <w:p>
      <w:r>
        <w:t xml:space="preserve">(2) Ausbildungsförderung wird nur für die Teilnahme an Lehrgängen geleistet, die nach § 12 des Fernunterrichtsschutzgesetzes zugelassen sind oder, ohne unter die Bestimmungen des Fernunterrichtsschutzgesetzes zu fallen, von einem öffentlich-rechtlichen Träger veranstaltet werden.</w:t>
      </w:r>
    </w:p>
    <w:p>
      <w:r>
        <w:t xml:space="preserve">(3) Ausbildungsförderung wird nur geleistet, wenn</w:t>
      </w:r>
    </w:p>
    <w:p>
      <w:pPr>
        <w:ind w:left="420"/>
      </w:pPr>
      <w:r>
        <w:t xml:space="preserve">1. der Auszubildende in den sechs Monaten vor Beginn des Bewilligungszeitraumes erfolgreich an dem Lehrgang teilgenommen hat und er die Vorbereitung auf den Ausbildungsabschluss in längstens zwölf Monaten beenden kann,</w:t>
      </w:r>
    </w:p>
    <w:p>
      <w:pPr>
        <w:ind w:left="420"/>
      </w:pPr>
      <w:r>
        <w:t xml:space="preserve">2. die Teilnahme an dem Lehrgang die Arbeitskraft des Auszubildenden voll in Anspruch nimmt und diese Zeit zumindest drei aufeinanderfolgende Kalendermonate dauert.</w:t>
      </w:r>
    </w:p>
    <w:p>
      <w:r>
        <w:t xml:space="preserve">Das ist durch eine Bescheinigung des Fernlehrinstituts nachzuweisen.</w:t>
      </w:r>
    </w:p>
    <w:p>
      <w:r>
        <w:t xml:space="preserve">(4) Die zuständige Landesbehörde entscheidet, den Auszubildenden welcher Ausbildungsstättenart die Teilnehmer an dem jeweiligen Fernunterrichtslehrgang gleichzustellen sind. Auszubildende, die an Lehrgängen teilnehmen, die</w:t>
      </w:r>
    </w:p>
    <w:p>
      <w:pPr>
        <w:ind w:left="420"/>
      </w:pPr>
      <w:r>
        <w:t xml:space="preserve">1. auf den Hauptschulabschluss vorbereiten, werden nach Vollendung des 17. Lebensjahres den Schülern von Abendhauptschulen,</w:t>
      </w:r>
    </w:p>
    <w:p>
      <w:pPr>
        <w:ind w:left="420"/>
      </w:pPr>
      <w:r>
        <w:t xml:space="preserve">2. auf den Realschulabschluss vorbereiten, werden nach Vollendung des 18. Lebensjahres den Schülern von Abendrealschulen,</w:t>
      </w:r>
    </w:p>
    <w:p>
      <w:pPr>
        <w:ind w:left="420"/>
      </w:pPr>
      <w:r>
        <w:t xml:space="preserve">3. auf die Fachhochschulreife vorbereiten, werden nach Vollendung des 19. Lebensjahres den Schülern von Fachoberschulklassen, deren Besuch eine abgeschlossene Berufsausbildung voraussetzt,</w:t>
      </w:r>
    </w:p>
    <w:p>
      <w:pPr>
        <w:ind w:left="420"/>
      </w:pPr>
      <w:r>
        <w:t xml:space="preserve">4. auf die allgemeine oder eine fachgebundene Hochschulreife vorbereiten, werden nach Vollendung des 21. Lebensjahres den Schülern von Abendgymnasien</w:t>
      </w:r>
    </w:p>
    <w:p>
      <w:r>
        <w:t xml:space="preserve">gleichgestellt.</w:t>
      </w:r>
    </w:p>
    <w:p>
      <w:r>
        <w:t xml:space="preserve">(5) § 2 Absatz 4 und 6 ist entsprechend anzuwenden.</w:t>
      </w:r>
    </w:p>
    <w:p>
      <w:r>
        <w:rPr>
          <w:color w:val="555555"/>
          <w:sz w:val="17"/>
        </w:rPr>
        <w:t xml:space="preserve">Zitiervorschlag: § 3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