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BAföG — Wertbestimmung des Vermögens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Wert eines Gegenstandes ist zu bestimmen</w:t>
      </w:r>
    </w:p>
    <w:p>
      <w:pPr>
        <w:ind w:left="420"/>
      </w:pPr>
      <w:r>
        <w:t xml:space="preserve">1. bei Wertpapieren auf die Höhe des Kurswertes,</w:t>
      </w:r>
    </w:p>
    <w:p>
      <w:pPr>
        <w:ind w:left="420"/>
      </w:pPr>
      <w:r>
        <w:t xml:space="preserve">2. bei sonstigen Gegenständen auf die Höhe des Zeitwertes.</w:t>
      </w:r>
    </w:p>
    <w:p>
      <w:r>
        <w:t xml:space="preserve">(2) Maßgebend ist der Wert im Zeitpunkt der Antragstellung.</w:t>
      </w:r>
    </w:p>
    <w:p>
      <w:r>
        <w:t xml:space="preserve">(3) Von dem nach den Absätzen 1 und 2 ermittelten Betrag sind die im Zeitpunkt der Antragstellung bestehenden Schulden und Lasten abzuziehen. Dies gilt nicht für das nach diesem Gesetz erhaltene Darlehen.</w:t>
      </w:r>
    </w:p>
    <w:p>
      <w:r>
        <w:t xml:space="preserve">(4) Veränderungen zwischen Antragstellung und Ende des Bewilligungszeitraums bleiben unberücksichtigt.</w:t>
      </w:r>
    </w:p>
    <w:p>
      <w:r>
        <w:rPr>
          <w:color w:val="555555"/>
          <w:sz w:val="17"/>
        </w:rPr>
        <w:t xml:space="preserve">Zitiervorschlag: § 28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