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BAföG — Vermögensbegriff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Vermögen gelten alle</w:t>
      </w:r>
    </w:p>
    <w:p>
      <w:pPr>
        <w:ind w:left="420"/>
      </w:pPr>
      <w:r>
        <w:t xml:space="preserve">1. beweglichen und unbeweglichen Sachen,</w:t>
      </w:r>
    </w:p>
    <w:p>
      <w:pPr>
        <w:ind w:left="420"/>
      </w:pPr>
      <w:r>
        <w:t xml:space="preserve">2. Forderungen und sonstige Rechte.</w:t>
      </w:r>
    </w:p>
    <w:p>
      <w:r>
        <w:t xml:space="preserve">Ausgenommen sind Gegenstände, soweit der Auszubildende sie aus rechtlichen Gründen nicht verwerten kann.</w:t>
      </w:r>
    </w:p>
    <w:p>
      <w:r>
        <w:t xml:space="preserve">(2) Nicht als Vermögen gelten</w:t>
      </w:r>
    </w:p>
    <w:p>
      <w:pPr>
        <w:ind w:left="420"/>
      </w:pPr>
      <w:r>
        <w:t xml:space="preserve">1. Rechte auf Versorgungsbezüge, auf Renten und andere wiederkehrende Leistungen,</w:t>
      </w:r>
    </w:p>
    <w:p>
      <w:pPr>
        <w:ind w:left="420"/>
      </w:pPr>
      <w:r>
        <w:t xml:space="preserve">2. Übergangsbeihilfen nach den §§ 12 und 13 des Soldatenversorgungsgesetzes in der Fassung der Bekanntmachung vom 21. April 1983 (BGBl. I S. 457) sowie die Wiedereingliederungsbeihilfe nach § 4 Absatz 1 Nummer 2 des Entwicklungshelfer-Gesetzes,</w:t>
      </w:r>
    </w:p>
    <w:p>
      <w:pPr>
        <w:ind w:left="420"/>
      </w:pPr>
      <w:r>
        <w:t xml:space="preserve">3. Nießbrauchsrechte,</w:t>
      </w:r>
    </w:p>
    <w:p>
      <w:pPr>
        <w:ind w:left="420"/>
      </w:pPr>
      <w:r>
        <w:t xml:space="preserve">4. Haushaltsgegenstände.</w:t>
      </w:r>
    </w:p>
    <w:p>
      <w:r>
        <w:rPr>
          <w:color w:val="555555"/>
          <w:sz w:val="17"/>
        </w:rPr>
        <w:t xml:space="preserve">Zitiervorschlag: § 27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