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BAföG — Rückzahlungspflicht</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Haben die Voraussetzungen für die Leistung von Ausbildungsförderung an keinem Tage des Kalendermonats vorgelegen, für den sie gezahlt worden ist, so ist – außer in den Fällen der §§ 44 bis 50 des Zehnten Buches Sozialgesetzbuch – insoweit der Bewilligungsbescheid aufzuheben und der Förderungsbetrag zu erstatten, als</w:t>
      </w:r>
    </w:p>
    <w:p>
      <w:pPr>
        <w:ind w:left="420"/>
      </w:pPr>
      <w:r>
        <w:t xml:space="preserve">1. (weggefallen)</w:t>
      </w:r>
    </w:p>
    <w:p>
      <w:pPr>
        <w:ind w:left="420"/>
      </w:pPr>
      <w:r>
        <w:t xml:space="preserve">2. (weggefallen)</w:t>
      </w:r>
    </w:p>
    <w:p>
      <w:pPr>
        <w:ind w:left="420"/>
      </w:pPr>
      <w:r>
        <w:t xml:space="preserve">3. der Auszubildende Einkommen im Sinne des § 21 erzielt hat, das bei der Bewilligung der Ausbildungsförderung nicht berücksichtigt worden ist; Regelanpassungen gesetzlicher Renten und Versorgungsbezüge bleiben hierbei außer Betracht,</w:t>
      </w:r>
    </w:p>
    <w:p>
      <w:pPr>
        <w:ind w:left="420"/>
      </w:pPr>
      <w:r>
        <w:t xml:space="preserve">4. Ausbildungsförderung unter dem Vorbehalt der Rückforderung geleistet worden ist.</w:t>
      </w:r>
    </w:p>
    <w:p>
      <w:r>
        <w:t xml:space="preserve">Die Regelung über die Erstattungspflicht gilt nicht für Bankdarlehen nach § 18c.</w:t>
      </w:r>
    </w:p>
    <w:p>
      <w:r>
        <w:t xml:space="preserve">(2) Der Förderungsbetrag ist für den Kalendermonat oder den Teil eines Kalendermonats zurückzuzahlen, in dem der Auszubildende die Ausbildung aus einem von ihm zu vertretenden Grund unterbrochen hat. Die Regelung über die Erstattungspflicht gilt nicht für Bankdarlehen nach § 18c.</w:t>
      </w:r>
    </w:p>
    <w:p>
      <w:r>
        <w:rPr>
          <w:color w:val="555555"/>
          <w:sz w:val="17"/>
        </w:rPr>
        <w:t xml:space="preserve">Zitiervorschlag: § 20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