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BAföG — Förderungshöchstdauer, Verordnungsermächtigung</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(1) Die Förderungshöchstdauer entspricht vorbehaltlich der Absätze 1a und 1b der Regelstudienzeit nach § 10 Absatz 2 des Hochschulrahmengesetzes oder einer vergleichbaren Festsetzung.</w:t>
      </w:r>
    </w:p>
    <w:p>
      <w:r>
        <w:t xml:space="preserve">(1a) Für die Bestimmung der Förderungshöchstdauer sind Verlängerungen der Regelstudienzeit nicht zu berücksichtigen, die als Ausnahme von hochschulrechtlichen Vorgaben zur Berücksichtigung vorübergehender außergewöhnlicher Beeinträchtigungen des Lehrbetriebs festgesetzt werden.</w:t>
      </w:r>
    </w:p>
    <w:p>
      <w:r>
        <w:t xml:space="preserve">(1b) Die Bundesregierung darf abweichend von Absatz 1 durch Rechtsverordnung mit Zustimmung des Bundesrates bestimmen, dass die Förderungshöchstdauer über die Regelstudienzeit nach Absatz 1 hinaus um einen bestimmten Zeitraum verlängert wird, soweit der Studien- und Lehrbetrieb an Ausbildungsstätten gemäß § 2 Absatz 1 Nummer 6 erheblich beeinträchtigt ist.</w:t>
      </w:r>
    </w:p>
    <w:p>
      <w:r>
        <w:t xml:space="preserve">(2) Auf die Förderungshöchstdauer sind anzurechnen</w:t>
      </w:r>
    </w:p>
    <w:p>
      <w:pPr>
        <w:ind w:left="420"/>
      </w:pPr>
      <w:r>
        <w:t xml:space="preserve">1. Zeiten, die der Auszubildende vor Förderungsbeginn in der zu fördernden Ausbildung verbracht hat,</w:t>
      </w:r>
    </w:p>
    <w:p>
      <w:pPr>
        <w:ind w:left="420"/>
      </w:pPr>
      <w:r>
        <w:t xml:space="preserve">2. Zeiten, die durch die zuständige Stelle auf Grund einer vorangegangenen Ausbildung oder berufspraktischen Tätigkeit oder eines vorangegangenen Praktikums für die zu fördernde Ausbildung anerkannt werden,</w:t>
      </w:r>
    </w:p>
    <w:p>
      <w:pPr>
        <w:ind w:left="420"/>
      </w:pPr>
      <w:r>
        <w:t xml:space="preserve">3. in Fällen der Förderung eines nach dem 31. Dezember 2007 aufgenommenen Masterstudiengangs nach § 5 Absatz 2 Nummer 1 und 3 Zeiten, die der Auszubildende in einem gemäß § 7 Absatz 1a Nummer 1 als einem Bachelorabschluss entsprechend anerkannten einstufigen Studiengang über das achte Fachsemester hinaus verbracht hat.</w:t>
      </w:r>
    </w:p>
    <w:p>
      <w:r>
        <w:t xml:space="preserve">Zeiten, in denen der Auszubildende eine Teilzeitausbildung durchgeführt hat, sind in Vollzeitausbildungszeiten umzurechnen. Legt der Auszubildende eine Anerkennungsentscheidung im Sinne des Satzes 1 Nummer 2 nicht vor, setzt das Amt für Ausbildungsförderung die anzurechnenden Zeiten unter Berücksichtigung der jeweiligen Studien- und Prüfungsordnungen sowie der Umstände des Einzelfalles fest. Weicht eine spätere Anerkennungsentscheidung der zuständigen Stelle von der Festsetzung nach Satz 3 ab, so ist sie zu berücksichtigen, wenn der Auszubildende nachweist, dass er den Antrag auf Anerkennung zu dem für ihn frühestmöglichen Zeitpunkt gestellt hat.</w:t>
      </w:r>
    </w:p>
    <w:p>
      <w:r>
        <w:t xml:space="preserve">(3) Setzt ein Studiengang Sprachkenntnisse über die Sprachen Deutsch, Englisch, Französisch oder Latein hinaus voraus und werden diese Kenntnisse von dem Auszubildenden während des Besuchs der Hochschule erworben, verlängert sich die Förderungshöchstdauer für jede Sprache um ein Semester. Satz 1 gilt für Auszubildende, die die Hochschulzugangsberechtigung vor dem 1. Oktober 2001 in dem in Artikel 3 des Einigungsvertrages genannten Gebiet erworben haben, mit der Maßgabe, dass auch der Erwerb erforderlicher Lateinkenntnisse während des Besuchs der Hochschule zu einer Verlängerung der Förderungshöchstdauer führt.</w:t>
      </w:r>
    </w:p>
    <w:p>
      <w:r>
        <w:rPr>
          <w:color w:val="555555"/>
          <w:sz w:val="17"/>
        </w:rPr>
        <w:t xml:space="preserve">Zitiervorschlag: § 15a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