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BAföG — Bedarf für Studierende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Als monatlicher Bedarf gelten für Auszubildende in</w:t>
      </w:r>
    </w:p>
    <w:p>
      <w:pPr>
        <w:ind w:left="420"/>
      </w:pPr>
      <w:r>
        <w:t xml:space="preserve">1. Fachschulklassen, deren Besuch eine abgeschlossene Berufsausbildung voraussetzt, Abendgymnasien und Kollegs 442 Euro,</w:t>
      </w:r>
    </w:p>
    <w:p>
      <w:pPr>
        <w:ind w:left="420"/>
      </w:pPr>
      <w:r>
        <w:t xml:space="preserve">2. Höheren Fachschulen, Akademien und Hochschulen 475 Euro.</w:t>
      </w:r>
    </w:p>
    <w:p>
      <w:r>
        <w:t xml:space="preserve">(2) Die Bedarfe nach Absatz 1 erhöhen sich für die Unterkunft, wenn der Auszubildende</w:t>
      </w:r>
    </w:p>
    <w:p>
      <w:pPr>
        <w:ind w:left="420"/>
      </w:pPr>
      <w:r>
        <w:t xml:space="preserve">1. bei seinen Eltern wohnt, um monatlich 59 Euro,</w:t>
      </w:r>
    </w:p>
    <w:p>
      <w:pPr>
        <w:ind w:left="420"/>
      </w:pPr>
      <w:r>
        <w:t xml:space="preserve">2. nicht bei seinen Eltern wohnt, um monatlich 380 Euro.</w:t>
      </w:r>
    </w:p>
    <w:p>
      <w:r>
        <w:t xml:space="preserve">(3) (weggefallen)</w:t>
      </w:r>
    </w:p>
    <w:p>
      <w:r>
        <w:t xml:space="preserve">(3a) Ein Auszubildender wohnt auch dann bei seinen Eltern, wenn der von ihm bewohnte Raum im Eigentum der Eltern steht.</w:t>
      </w:r>
    </w:p>
    <w:p>
      <w:r>
        <w:t xml:space="preserve">(4) Bei einer Ausbildung im Ausland nach § 5 Absatz 2 wird, soweit die Lebens- und Ausbildungsverhältnisse im Ausbildungsland dies erfordern, bei dem Bedarf ein Zu- oder Abschlag vorgenommen, dessen Höhe die Bundesregierung durch Rechtsverordnung ohne Zustimmung des Bundesrates bestimmt.</w:t>
      </w:r>
    </w:p>
    <w:p>
      <w:r>
        <w:rPr>
          <w:color w:val="555555"/>
          <w:sz w:val="17"/>
        </w:rPr>
        <w:t xml:space="preserve">Zitiervorschlag: § 13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