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BAZustAnO</w:t>
      </w:r>
    </w:p>
    <w:p>
      <w:r>
        <w:rPr>
          <w:color w:val="555555"/>
          <w:sz w:val="18"/>
        </w:rPr>
        <w:t xml:space="preserve">Anordnung des Vorstands der Bundesagentur für Arbeit über die Übertragung von Befugnissen auf dem Gebiet des Beamten-, Versorgungs- und Disziplinarrechts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</w:t>
      </w:r>
    </w:p>
    <w:p>
      <w:pPr>
        <w:ind w:left="420"/>
      </w:pPr>
      <w:r>
        <w:t xml:space="preserve">– § 387 Absatz 2 des Dritten Buches Sozialgesetzbuch – Arbeitsförderung – (Artikel 1 des Gesetzes vom 24. März 1997, BGBl. I S. 594, 595), der durch Artikel 1 des Gesetzes vom 20. Dezember 2011 (BGBl. I S. 2854) geändert worden ist, und</w:t>
      </w:r>
    </w:p>
    <w:p>
      <w:pPr>
        <w:ind w:left="420"/>
      </w:pPr>
      <w:r>
        <w:t xml:space="preserve">– § 388 Absatz 2 des Dritten Buches Sozialgesetzbuch – Arbeitsförderung –, der zuletzt durch Artikel 1 Nummer 222 des Gesetzes vom 23. Dezember 2003 (BGBl. I S. 2848) geändert worden ist,</w:t>
      </w:r>
    </w:p>
    <w:p>
      <w:r>
        <w:t xml:space="preserve">in Verbindung mit</w:t>
      </w:r>
    </w:p>
    <w:p>
      <w:pPr>
        <w:ind w:left="420"/>
      </w:pPr>
      <w:r>
        <w:t xml:space="preserve">– § 49 Absatz 1 Satz 2 des Beamtenversorgungsgesetzes in der Fassung der Bekanntmachung vom 24. Februar 2010 (BGBl. I S. 150),</w:t>
      </w:r>
    </w:p>
    <w:p>
      <w:pPr>
        <w:ind w:left="420"/>
      </w:pPr>
      <w:r>
        <w:t xml:space="preserve">– § 38 Satz 1, § 59 Satz 1, § 126 Absatz 3 des Bundesbeamtengesetzes vom 5. Februar 2009 (BGBl. I S. 160),</w:t>
      </w:r>
    </w:p>
    <w:p>
      <w:r>
        <w:t xml:space="preserve">in Verbindung mit</w:t>
      </w:r>
    </w:p>
    <w:p>
      <w:pPr>
        <w:ind w:left="420"/>
      </w:pPr>
      <w:r>
        <w:t xml:space="preserve">– § 126 Absatz 3 Nummer 2 des Beamtenrechtsrahmengesetzes in der Fassung der Bekanntmachung vom 31. März 1999 (BGBl. I S. 654), der durch Artikel 2 Nummer 4 Buchstabe b des Gesetzes vom 21. Juni 2002 (BGBl. I S. 2138) geändert worden ist,</w:t>
      </w:r>
    </w:p>
    <w:p>
      <w:pPr>
        <w:ind w:left="420"/>
      </w:pPr>
      <w:r>
        <w:t xml:space="preserve">– § 127 des Bundesbeamtengesetzes vom 5. Februar 2009 (BGBl. I S. 160),</w:t>
      </w:r>
    </w:p>
    <w:p>
      <w:pPr>
        <w:ind w:left="420"/>
      </w:pPr>
      <w:r>
        <w:t xml:space="preserve">– § 83 Absatz 1 Satz 1 und 2 des Bundesdisziplinargesetzes vom 9. Juli 2001 (BGBl. I S. 1510) und</w:t>
      </w:r>
    </w:p>
    <w:p>
      <w:pPr>
        <w:ind w:left="420"/>
      </w:pPr>
      <w:r>
        <w:t xml:space="preserve">– § 1 Absatz 1 Satz 1 der Verordnung zur Durchführung des Bundesdisziplinargesetzes bei den bundesunmittelbaren Körperschaften mit Dienstherrnfähigkeit im Geschäftsbereich des Bundesministeriums für Arbeit und Soziales vom 13. Juli 2006 (BGBl. I S. 1584), der zuletzt durch Artikel 1 der Verordnung vom 4. Mai 2016 (BGBl. I S. 1134) geändert worden ist,</w:t>
      </w:r>
    </w:p>
    <w:p>
      <w:r>
        <w:t xml:space="preserve">in Verbindung mit</w:t>
      </w:r>
    </w:p>
    <w:p>
      <w:pPr>
        <w:ind w:left="420"/>
      </w:pPr>
      <w:r>
        <w:t xml:space="preserve">– § 33 Absatz 5, § 34 Absatz 2 Satz 2, § 42 Absatz 1 Satz 2 und § 84 Satz 2 des Bundesdisziplinargesetzes vom 9. Juli 2001 (BGBl. I S. 1510)</w:t>
      </w:r>
    </w:p>
    <w:p>
      <w:r>
        <w:t xml:space="preserve">ordnet der Vorstand der Bundesagentur für Arbeit an:</w:t>
      </w:r>
    </w:p>
    <w:p>
      <w:r>
        <w:rPr>
          <w:color w:val="555555"/>
          <w:sz w:val="17"/>
        </w:rPr>
        <w:t xml:space="preserve">Zitiervorschlag: Eingangsformel BAZustAnO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https://recht.nulegal.eu/gesetze/BAZustAnO/eingangsformel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