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BAY_110_1990_478 (Bayern)</w:t>
      </w:r>
    </w:p>
    <w:p>
      <w:r>
        <w:rPr>
          <w:color w:val="555555"/>
          <w:sz w:val="18"/>
        </w:rPr>
        <w:t xml:space="preserve">Vertrag zwischen der Bundesrepublik Deutschland und der Europäischen Wirtschaftsgemeinschaft einerseits und der Republik Österreich andererseits über die wasserwirtschaftliche Zusammenarbeit im Einzugsgebiet der Donau</w:t>
      </w:r>
    </w:p>
    <w:p>
      <w:r>
        <w:rPr>
          <w:color w:val="555555"/>
          <w:sz w:val="18"/>
        </w:rPr>
        <w:t xml:space="preserve">Landesrecht Bayern</w:t>
      </w:r>
    </w:p>
    <w:p>
      <w:r>
        <w:rPr>
          <w:color w:val="555555"/>
          <w:sz w:val="18"/>
        </w:rPr>
        <w:t xml:space="preserve">Stand: 25.08.2026 (konsolidierte Textfassung, kein amtliches Inkrafttretensdatum)</w:t>
      </w:r>
    </w:p>
    <w:p>
      <w:r>
        <w:t xml:space="preserve">(1) Bei Vorhaben an grenzbildenden Gewässerstrecken, die in den Hoheitsgebieten der Bundesrepublik Deutschland und der Republik Österreich durchgeführt werden, entscheiden die jeweils zuständigen Behörden über den in ihrem Gebiet durchzuführenden Teil; sie stimmen dabei die erforderlichen Verfahren zeitlich und die zu treffenden Entscheidungen inhaltlich aufeinander ab.</w:t>
      </w:r>
    </w:p>
    <w:p>
      <w:r>
        <w:t xml:space="preserve">(2) Bei Vorhaben an grenzbildenden Gewässerstrecken, die nur im Hoheitsgebiet der Bundesrepublik Deutschland oder der Republik Österreich durchgeführt werden, aber Rechte und Interessen, wie etwa im Bereich des Gewässerregimes und des Gütezustands, auch des anderen Staates nachteilig berühren können, ist den zuständigen Behörden des anderen Staates rechtzeitig Gelegenheit zur Stellungnahme, insbesondere zum Sachverhalt und zu den im öffentlichen Interesse gelegenen Bedingungen und Auflagen, zu geben.</w:t>
      </w:r>
    </w:p>
    <w:p>
      <w:r>
        <w:t xml:space="preserve">(3) Ist eine Angelegenheit im Sinne des Absatzes 1 oder 2 von einer Vertragspartei der Ständigen Gewässerkommission unterbreitet worden, so haben die zuständigen Behörden – außer bei Gefahr im Verzug – vor ihrer Entscheidung die Beratung der Ständigen Gewässerkommission abzuwarten.</w:t>
      </w:r>
    </w:p>
    <w:p>
      <w:r>
        <w:rPr>
          <w:color w:val="555555"/>
          <w:sz w:val="17"/>
        </w:rPr>
        <w:t xml:space="preserve">Zitiervorschlag: Art 4 BAY_110_1990_478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https://recht.nulegal.eu/gesetze/BAY_110_1990_478/4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