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5 BAY_110_1984_201 (Bayern)</w:t>
      </w:r>
    </w:p>
    <w:p>
      <w:r>
        <w:rPr>
          <w:color w:val="555555"/>
          <w:sz w:val="18"/>
        </w:rPr>
        <w:t xml:space="preserve">Staatsvertrag zwischen dem Freistaat Bayern und dem Land Baden-Württemberg über die Festlegung der Landesgrenze im Main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Staatsvertrag bedarf der Ratifikation. Die Ratifikationsurkunden sollen so bald wie möglich ausgetauscht werden.</w:t>
      </w:r>
    </w:p>
    <w:p>
      <w:r>
        <w:t xml:space="preserve">(2) Dieser Staatsvertrag tritt am ersten Tag des dem Austausch der Ratifikationsurkunden folgenden Kalendermonats in Kraft.</w:t>
      </w:r>
    </w:p>
    <w:p>
      <w:r>
        <w:rPr>
          <w:color w:val="555555"/>
          <w:sz w:val="17"/>
        </w:rPr>
        <w:t xml:space="preserve">Zitiervorschlag: Art 5 BAY_110_1984_201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https://recht.nulegal.eu/gesetze/BAY_110_1984_201/5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5 BAY_110_1984_201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