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BAVO (Brandenburg) — Verantwortung der Rechtsträger oder Eigentümer der Bahnen</w:t>
      </w:r>
    </w:p>
    <w:p>
      <w:r>
        <w:rPr>
          <w:color w:val="555555"/>
          <w:sz w:val="18"/>
        </w:rPr>
        <w:t xml:space="preserve">Bahnaufsichts-VO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Bau, der Betrieb und die Instandhaltung der Bahnen</w:t>
      </w:r>
    </w:p>
    <w:p>
      <w:r>
        <w:t xml:space="preserve">müssen dieser Verordnung und den gemäß § 9 dazu erlassenen</w:t>
      </w:r>
    </w:p>
    <w:p>
      <w:r>
        <w:t xml:space="preserve">Bestimmungen entsprechen. Soweit darin keine Festlegungen für den Bau, den</w:t>
      </w:r>
    </w:p>
    <w:p>
      <w:r>
        <w:t xml:space="preserve">Betrieb und die Instandhaltung enthalten sind, sind die dafür zutreffenden</w:t>
      </w:r>
    </w:p>
    <w:p>
      <w:r>
        <w:t xml:space="preserve">allgemeinen Rechtsvorschriften und die allgemein anerkannten Regeln der Technik</w:t>
      </w:r>
    </w:p>
    <w:p>
      <w:r>
        <w:t xml:space="preserve">anzuwenden.</w:t>
      </w:r>
    </w:p>
    <w:p>
      <w:r>
        <w:t xml:space="preserve">(2) Für die Erfüllung der Forderungen</w:t>
      </w:r>
    </w:p>
    <w:p>
      <w:r>
        <w:t xml:space="preserve">gemäß Abs. 1 und für die Einholung der dazu notwendigen</w:t>
      </w:r>
    </w:p>
    <w:p>
      <w:r>
        <w:t xml:space="preserve">Zustimmungen und Genehmigungen tragen die Leiter der Betriebe die</w:t>
      </w:r>
    </w:p>
    <w:p>
      <w:r>
        <w:t xml:space="preserve">Verantwortung. Das gleiche gilt auch für leitende Mitarbeiter, wenn ihnen</w:t>
      </w:r>
    </w:p>
    <w:p>
      <w:r>
        <w:t xml:space="preserve">Verantwortung für die Bahnen übertragen wurde.</w:t>
      </w:r>
    </w:p>
    <w:p>
      <w:r>
        <w:t xml:space="preserve">§ 8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7 BAVO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https://recht.nulegal.eu/gesetze/BAVO/7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